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附件1</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eastAsia="方正小标宋简体"/>
          <w:color w:val="000000" w:themeColor="text1"/>
          <w:w w:val="96"/>
          <w:sz w:val="44"/>
          <w:szCs w:val="44"/>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简体" w:eastAsia="方正小标宋简体"/>
          <w:color w:val="000000" w:themeColor="text1"/>
          <w:w w:val="100"/>
          <w:sz w:val="44"/>
          <w:szCs w:val="44"/>
        </w:rPr>
      </w:pPr>
      <w:r>
        <w:rPr>
          <w:rFonts w:hint="eastAsia" w:ascii="方正小标宋简体" w:eastAsia="方正小标宋简体"/>
          <w:color w:val="000000" w:themeColor="text1"/>
          <w:w w:val="100"/>
          <w:sz w:val="44"/>
          <w:szCs w:val="44"/>
        </w:rPr>
        <w:t>2023年贵州省教育科学规划课题</w:t>
      </w:r>
    </w:p>
    <w:p>
      <w:pPr>
        <w:keepNext w:val="0"/>
        <w:keepLines w:val="0"/>
        <w:pageBreakBefore w:val="0"/>
        <w:widowControl w:val="0"/>
        <w:kinsoku/>
        <w:wordWrap/>
        <w:overflowPunct/>
        <w:topLinePunct w:val="0"/>
        <w:autoSpaceDE/>
        <w:autoSpaceDN/>
        <w:bidi w:val="0"/>
        <w:spacing w:line="580" w:lineRule="exact"/>
        <w:jc w:val="center"/>
        <w:textAlignment w:val="auto"/>
        <w:rPr>
          <w:rFonts w:ascii="方正小标宋简体" w:eastAsia="方正小标宋简体"/>
          <w:color w:val="000000" w:themeColor="text1"/>
          <w:w w:val="100"/>
          <w:sz w:val="44"/>
          <w:szCs w:val="44"/>
        </w:rPr>
      </w:pPr>
      <w:r>
        <w:rPr>
          <w:rFonts w:hint="eastAsia" w:ascii="方正小标宋简体" w:eastAsia="方正小标宋简体"/>
          <w:color w:val="000000" w:themeColor="text1"/>
          <w:w w:val="100"/>
          <w:sz w:val="44"/>
          <w:szCs w:val="44"/>
        </w:rPr>
        <w:t>申报工作方案</w:t>
      </w:r>
    </w:p>
    <w:p>
      <w:pPr>
        <w:keepNext w:val="0"/>
        <w:keepLines w:val="0"/>
        <w:pageBreakBefore w:val="0"/>
        <w:widowControl w:val="0"/>
        <w:kinsoku/>
        <w:wordWrap/>
        <w:overflowPunct/>
        <w:topLinePunct w:val="0"/>
        <w:autoSpaceDE/>
        <w:autoSpaceDN/>
        <w:bidi w:val="0"/>
        <w:spacing w:line="58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为保证本年度课题申报工作的正常组织，根据《贵州省教育科学规划课题管理办法》（黔教发[2020]27号），结合实际，现提出如下要求：</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一、申报程序</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省教育科学规划课题立项评审实行限额逐级择优申报。</w:t>
      </w:r>
    </w:p>
    <w:p>
      <w:pPr>
        <w:keepNext w:val="0"/>
        <w:keepLines w:val="0"/>
        <w:pageBreakBefore w:val="0"/>
        <w:widowControl w:val="0"/>
        <w:numPr>
          <w:ilvl w:val="0"/>
          <w:numId w:val="1"/>
        </w:numPr>
        <w:kinsoku/>
        <w:wordWrap/>
        <w:overflowPunct/>
        <w:topLinePunct w:val="0"/>
        <w:autoSpaceDE/>
        <w:autoSpaceDN/>
        <w:bidi w:val="0"/>
        <w:spacing w:line="58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各市（州）教育局负责本市（州）普通中小学校、幼儿园（含民办学校），特殊教育，中等职业学校课题申报工作。</w:t>
      </w:r>
    </w:p>
    <w:p>
      <w:pPr>
        <w:keepNext w:val="0"/>
        <w:keepLines w:val="0"/>
        <w:pageBreakBefore w:val="0"/>
        <w:widowControl w:val="0"/>
        <w:numPr>
          <w:ilvl w:val="0"/>
          <w:numId w:val="1"/>
        </w:numPr>
        <w:kinsoku/>
        <w:wordWrap/>
        <w:overflowPunct/>
        <w:topLinePunct w:val="0"/>
        <w:autoSpaceDE/>
        <w:autoSpaceDN/>
        <w:bidi w:val="0"/>
        <w:spacing w:line="58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各高等学校，省属中等职业学校，省属普通高中，厅属事业单位负责本校（单位）课题申报工作。</w:t>
      </w:r>
    </w:p>
    <w:p>
      <w:pPr>
        <w:keepNext w:val="0"/>
        <w:keepLines w:val="0"/>
        <w:pageBreakBefore w:val="0"/>
        <w:widowControl w:val="0"/>
        <w:numPr>
          <w:ilvl w:val="0"/>
          <w:numId w:val="1"/>
        </w:numPr>
        <w:kinsoku/>
        <w:wordWrap/>
        <w:overflowPunct/>
        <w:topLinePunct w:val="0"/>
        <w:autoSpaceDE/>
        <w:autoSpaceDN/>
        <w:bidi w:val="0"/>
        <w:spacing w:line="580" w:lineRule="exact"/>
        <w:ind w:firstLine="640" w:firstLineChars="200"/>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省教育学会可直接推荐上报。</w:t>
      </w:r>
    </w:p>
    <w:p>
      <w:pPr>
        <w:keepNext w:val="0"/>
        <w:keepLines w:val="0"/>
        <w:pageBreakBefore w:val="0"/>
        <w:widowControl w:val="0"/>
        <w:kinsoku/>
        <w:wordWrap/>
        <w:overflowPunct/>
        <w:topLinePunct w:val="0"/>
        <w:autoSpaceDE/>
        <w:autoSpaceDN/>
        <w:bidi w:val="0"/>
        <w:spacing w:line="580" w:lineRule="exact"/>
        <w:textAlignment w:val="auto"/>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    各市（州）教育局、学校（单位）分别负责本地课题申报材料的初审，按申报时间和名额，择优报送至贵州省教育科学规划领导小组办公室。省教育科学规划领导小组办公室不接受个人单独申报。</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二、申报时间</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sz w:val="32"/>
          <w:szCs w:val="32"/>
        </w:rPr>
      </w:pPr>
      <w:r>
        <w:rPr>
          <w:rFonts w:hint="eastAsia" w:ascii="仿宋_GB2312" w:eastAsia="仿宋_GB2312"/>
          <w:sz w:val="32"/>
          <w:szCs w:val="32"/>
        </w:rPr>
        <w:t>2023年5月29日至31日，逾期不予受理。</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1"/>
        <w:textAlignment w:val="auto"/>
        <w:rPr>
          <w:rFonts w:ascii="黑体" w:hAnsi="黑体" w:eastAsia="黑体" w:cs="Arial"/>
          <w:kern w:val="0"/>
          <w:sz w:val="32"/>
          <w:szCs w:val="32"/>
        </w:rPr>
      </w:pPr>
      <w:r>
        <w:rPr>
          <w:rFonts w:hint="eastAsia" w:ascii="黑体" w:hAnsi="黑体" w:eastAsia="黑体" w:cs="Arial"/>
          <w:kern w:val="0"/>
          <w:sz w:val="32"/>
          <w:szCs w:val="32"/>
        </w:rPr>
        <w:t>三、名额分配</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楷体" w:hAnsi="楷体" w:eastAsia="楷体" w:cs="楷体"/>
          <w:kern w:val="0"/>
          <w:sz w:val="32"/>
          <w:szCs w:val="32"/>
        </w:rPr>
      </w:pPr>
      <w:r>
        <w:rPr>
          <w:rFonts w:hint="eastAsia" w:ascii="楷体" w:hAnsi="楷体" w:eastAsia="楷体" w:cs="楷体"/>
          <w:kern w:val="0"/>
          <w:sz w:val="32"/>
          <w:szCs w:val="32"/>
        </w:rPr>
        <w:t>（一）各市（州）名额</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1.贵阳市、遵义市、毕节市各8</w:t>
      </w:r>
      <w:r>
        <w:rPr>
          <w:rFonts w:hint="eastAsia" w:ascii="仿宋" w:hAnsi="仿宋" w:eastAsia="仿宋" w:cs="Arial"/>
          <w:color w:val="000000"/>
          <w:kern w:val="0"/>
          <w:sz w:val="32"/>
          <w:szCs w:val="32"/>
        </w:rPr>
        <w:t>0</w:t>
      </w:r>
      <w:r>
        <w:rPr>
          <w:rFonts w:hint="eastAsia" w:ascii="仿宋" w:hAnsi="仿宋" w:eastAsia="仿宋" w:cs="Arial"/>
          <w:kern w:val="0"/>
          <w:sz w:val="32"/>
          <w:szCs w:val="32"/>
        </w:rPr>
        <w:t>项；黔南州、黔东南州、铜仁市各6</w:t>
      </w:r>
      <w:r>
        <w:rPr>
          <w:rFonts w:hint="eastAsia" w:ascii="仿宋" w:hAnsi="仿宋" w:eastAsia="仿宋" w:cs="Arial"/>
          <w:color w:val="000000"/>
          <w:kern w:val="0"/>
          <w:sz w:val="32"/>
          <w:szCs w:val="32"/>
        </w:rPr>
        <w:t>0</w:t>
      </w:r>
      <w:r>
        <w:rPr>
          <w:rFonts w:hint="eastAsia" w:ascii="仿宋" w:hAnsi="仿宋" w:eastAsia="仿宋" w:cs="Arial"/>
          <w:kern w:val="0"/>
          <w:sz w:val="32"/>
          <w:szCs w:val="32"/>
        </w:rPr>
        <w:t>项；六盘水市、黔西南州、安顺市各5</w:t>
      </w:r>
      <w:r>
        <w:rPr>
          <w:rFonts w:hint="eastAsia" w:ascii="仿宋" w:hAnsi="仿宋" w:eastAsia="仿宋" w:cs="Arial"/>
          <w:color w:val="000000"/>
          <w:kern w:val="0"/>
          <w:sz w:val="32"/>
          <w:szCs w:val="32"/>
        </w:rPr>
        <w:t>0</w:t>
      </w:r>
      <w:r>
        <w:rPr>
          <w:rFonts w:hint="eastAsia" w:ascii="仿宋" w:hAnsi="仿宋" w:eastAsia="仿宋" w:cs="Arial"/>
          <w:kern w:val="0"/>
          <w:sz w:val="32"/>
          <w:szCs w:val="32"/>
        </w:rPr>
        <w:t>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2.各市（州）应指导乡村学校教师参与课题申报，申报比例不低于本地区申报名额的10%。同时，确保一定比例的民办学校教师参与课题申报。</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楷体" w:hAnsi="楷体" w:eastAsia="楷体" w:cs="楷体"/>
          <w:kern w:val="0"/>
          <w:sz w:val="32"/>
          <w:szCs w:val="32"/>
        </w:rPr>
      </w:pPr>
      <w:r>
        <w:rPr>
          <w:rFonts w:hint="eastAsia" w:ascii="楷体" w:hAnsi="楷体" w:eastAsia="楷体" w:cs="楷体"/>
          <w:kern w:val="0"/>
          <w:sz w:val="32"/>
          <w:szCs w:val="32"/>
        </w:rPr>
        <w:t>（二）高等学校</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1.省属普通本科高校：贵州大学、贵州师范大学、贵州师范学院、贵州民族大学，每校各20项；其他省属普通本科高校，每校各15项。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2.市（州）普通本科高校（含民办），每校各10项。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3.高等职业学校：每校各5项。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（三）省属中专、省属普通高中，每校各5项。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（四）厅属事业单位，每单位各5项。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（五）省教育学会3项。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四、申报要求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highlight w:val="red"/>
        </w:rPr>
      </w:pPr>
      <w:r>
        <w:rPr>
          <w:rFonts w:hint="eastAsia" w:ascii="仿宋" w:hAnsi="仿宋" w:eastAsia="仿宋" w:cs="Arial"/>
          <w:kern w:val="0"/>
          <w:sz w:val="32"/>
          <w:szCs w:val="32"/>
        </w:rPr>
        <w:t>（一）课题申请人须具备下列条件：遵守中华人民共和国宪法和法律，具有独立开展研究和组织开展研究的能力，能够承担实质性研究工作。</w:t>
      </w:r>
      <w:r>
        <w:rPr>
          <w:rFonts w:hint="eastAsia" w:ascii="仿宋" w:hAnsi="仿宋" w:eastAsia="仿宋" w:cs="Arial"/>
          <w:kern w:val="0"/>
          <w:sz w:val="32"/>
          <w:szCs w:val="32"/>
          <w:highlight w:val="red"/>
        </w:rPr>
        <w:t>申请人须具有副高级以上（含）专业技术职务，不具有副高级以上（含）专业技术职务的，须有两名副高级以上（含）专业技术职务的同行专家推荐。申请青年课题的申请人及其成员不得超过35周岁，不须具备副高级（含）以上专业技术职务，不需要专家书面推荐。</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（二）课题申报内容要坚持正确的政治方向、价值取向和学术导向，增强“四个意识”、坚定“四个自信”，做到“两个维护”，符合社会主义核心价值观要求。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二）本年度课题不设课题指南，由申报者自主拟题。拟选题内容应围绕教育高质量发展，立足教育教学实际需要，表述应科学、严谨、规范、简明，一般不加副标题。拟题提倡小、精、实、新，坚持问题导向，以解决真问题为方</w:t>
      </w:r>
      <w:bookmarkStart w:id="0" w:name="_GoBack"/>
      <w:bookmarkEnd w:id="0"/>
      <w:r>
        <w:rPr>
          <w:rFonts w:hint="eastAsia" w:ascii="仿宋" w:hAnsi="仿宋" w:eastAsia="仿宋" w:cs="Arial"/>
          <w:kern w:val="0"/>
          <w:sz w:val="32"/>
          <w:szCs w:val="32"/>
        </w:rPr>
        <w:t>向。</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（三）课题的完成时限，原则上不超过2年。因问题的战略性、前瞻性等原因，确需延长完成时限的，不超过4年。</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（四）申请人应如实填写申请材料，保证没有知识产权争议，不得有违背科研诚信要求的行为。凡存在弄虚作假、抄袭剽窃等行为的，一经发现查实，取消申报资格，如获立项即予撤项并通报批评。</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五）申报类别分为A类和B类。A类申报课题为重点课题和一般课题；B类申报课题为青年课题。省教育科学规划课题评审委员会根据课题申报材料质量，在A类申报课题中立项重点课题或一般课题，在B类申报课题中立项青年课题。</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（六）未采用本年度《贵州省教育科学规划课题申报书》提交的申报材料，不得送审本次课题评审活动，评审专家也不得接受该申报材料的评审工作。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Arial"/>
          <w:kern w:val="0"/>
          <w:sz w:val="32"/>
          <w:szCs w:val="32"/>
        </w:rPr>
      </w:pPr>
      <w:r>
        <w:rPr>
          <w:rFonts w:hint="eastAsia" w:ascii="黑体" w:hAnsi="黑体" w:eastAsia="黑体" w:cs="Arial"/>
          <w:kern w:val="0"/>
          <w:sz w:val="32"/>
          <w:szCs w:val="32"/>
        </w:rPr>
        <w:t>五、申报材料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Arial"/>
          <w:kern w:val="0"/>
          <w:sz w:val="32"/>
          <w:szCs w:val="32"/>
        </w:rPr>
      </w:pPr>
      <w:r>
        <w:rPr>
          <w:rFonts w:hint="eastAsia" w:ascii="仿宋" w:hAnsi="仿宋" w:eastAsia="仿宋" w:cs="Arial"/>
          <w:kern w:val="0"/>
          <w:sz w:val="32"/>
          <w:szCs w:val="32"/>
        </w:rPr>
        <w:t>（一）已立项省教育科学规划课题或获得省教育科学研究优秀成果奖、省中小学（幼儿园）教学成果奖的相同内容或高度雷同内容，不得再作为此次申报材料。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Arial"/>
          <w:kern w:val="0"/>
          <w:sz w:val="32"/>
          <w:szCs w:val="32"/>
        </w:rPr>
      </w:pPr>
      <w:r>
        <w:rPr>
          <w:rFonts w:hint="eastAsia" w:ascii="仿宋" w:hAnsi="仿宋" w:eastAsia="仿宋" w:cs="Arial"/>
          <w:kern w:val="0"/>
          <w:sz w:val="32"/>
          <w:szCs w:val="32"/>
        </w:rPr>
        <w:t>各市（州）、单位需严格遴选审核，省教育科学规划领导小组办公室将对拟立项课题进行抽查审核，一旦发现以已立项或已获省级及以上成果奖的相同内容或高度雷同内容再度申报，取消其拟立项课题资格，且课题主持人三年不得申报贵州省教育科学规划项目，负责组织遴选申报的市（州）、单位负相应责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楷体_GB2312" w:eastAsia="楷体_GB2312"/>
          <w:sz w:val="32"/>
          <w:szCs w:val="32"/>
        </w:rPr>
        <w:t>（二）</w:t>
      </w:r>
      <w:r>
        <w:rPr>
          <w:rFonts w:hint="eastAsia" w:ascii="仿宋_GB2312" w:eastAsia="仿宋_GB2312"/>
          <w:sz w:val="32"/>
          <w:szCs w:val="32"/>
        </w:rPr>
        <w:t>申报材料提交清单</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《贵州省教育科学规划课题申请书》（1式3份）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《课题设计论证活页》（1式3份）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《贵州省教育科学规划课题申报汇总表》（1式1份）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ascii="仿宋" w:hAnsi="仿宋" w:eastAsia="仿宋" w:cs="Arial"/>
          <w:spacing w:val="-20"/>
          <w:kern w:val="0"/>
          <w:sz w:val="32"/>
          <w:szCs w:val="32"/>
        </w:rPr>
      </w:pPr>
      <w:r>
        <w:rPr>
          <w:rFonts w:hint="eastAsia" w:ascii="仿宋" w:hAnsi="仿宋" w:eastAsia="仿宋" w:cs="Arial"/>
          <w:kern w:val="0"/>
          <w:sz w:val="32"/>
          <w:szCs w:val="32"/>
        </w:rPr>
        <w:t>上述材料可从贵州省教育厅政务网</w:t>
      </w:r>
      <w:r>
        <w:rPr>
          <w:rFonts w:hint="eastAsia" w:ascii="仿宋" w:hAnsi="仿宋" w:eastAsia="仿宋" w:cs="Arial"/>
          <w:spacing w:val="-20"/>
          <w:kern w:val="0"/>
          <w:sz w:val="32"/>
          <w:szCs w:val="32"/>
        </w:rPr>
        <w:t>（</w:t>
      </w:r>
      <w:r>
        <w:rPr>
          <w:rFonts w:ascii="仿宋" w:hAnsi="仿宋" w:eastAsia="仿宋" w:cs="Arial"/>
          <w:spacing w:val="-20"/>
          <w:kern w:val="0"/>
          <w:sz w:val="32"/>
          <w:szCs w:val="32"/>
        </w:rPr>
        <w:t>http://jyt.guizhou.gov.cn/</w:t>
      </w:r>
      <w:r>
        <w:rPr>
          <w:rFonts w:hint="eastAsia" w:ascii="仿宋" w:hAnsi="仿宋" w:eastAsia="仿宋" w:cs="Arial"/>
          <w:spacing w:val="-20"/>
          <w:kern w:val="0"/>
          <w:sz w:val="32"/>
          <w:szCs w:val="32"/>
        </w:rPr>
        <w:t>）通知公告栏下载。</w:t>
      </w:r>
      <w:r>
        <w:rPr>
          <w:rFonts w:hint="eastAsia" w:ascii="仿宋" w:hAnsi="仿宋" w:eastAsia="仿宋" w:cs="Arial"/>
          <w:kern w:val="0"/>
          <w:sz w:val="32"/>
          <w:szCs w:val="32"/>
        </w:rPr>
        <w:t>申报单位需同时提交纸质版和电子版申报材料。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楷体" w:eastAsia="仿宋_GB2312" w:cs="楷体"/>
          <w:kern w:val="0"/>
          <w:sz w:val="32"/>
          <w:szCs w:val="32"/>
        </w:rPr>
      </w:pPr>
      <w:r>
        <w:rPr>
          <w:rFonts w:hint="eastAsia" w:ascii="仿宋_GB2312" w:hAnsi="楷体" w:eastAsia="仿宋_GB2312" w:cs="楷体"/>
          <w:kern w:val="0"/>
          <w:sz w:val="32"/>
          <w:szCs w:val="32"/>
        </w:rPr>
        <w:t>（三）申报材料填写、印制及装袋要求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申报者需严格按《课题申请书》、《活页》和《汇总表》等申报材料的文字说明，统一使用电脑输入或钢笔填写。《申请书》和《活页》，请分别使用A3纸双面印制，中线骑缝装订。《汇总表》使用A4纸打印。</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申报者需将所有材料装于1个纸质档案袋中，并将《申请书》的封面打印1张粘贴于档案袋封面，按要求向各市（州</w:t>
      </w:r>
      <w:r>
        <w:rPr>
          <w:rFonts w:ascii="仿宋" w:hAnsi="仿宋" w:eastAsia="仿宋" w:cs="Arial"/>
          <w:kern w:val="0"/>
          <w:sz w:val="32"/>
          <w:szCs w:val="32"/>
        </w:rPr>
        <w:t>）</w:t>
      </w:r>
      <w:r>
        <w:rPr>
          <w:rFonts w:hint="eastAsia" w:ascii="仿宋" w:hAnsi="仿宋" w:eastAsia="仿宋" w:cs="Arial"/>
          <w:kern w:val="0"/>
          <w:sz w:val="32"/>
          <w:szCs w:val="32"/>
        </w:rPr>
        <w:t>、单位课题管理部门，逐级提交档案袋材料和电子版文稿。其中，申报者电子版材料文件夹须以其姓名命名。</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（四）课题申报材料统一报送清单</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1.盖有公章的课题申报汇总表（1式1份）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2.按《汇总表》要求集中打包的课题申报材料。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3.上述材料的电子版文稿压塑包（通过电子邮箱报送）。</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hint="eastAsia" w:ascii="黑体" w:hAnsi="黑体" w:eastAsia="黑体" w:cs="黑体"/>
          <w:kern w:val="0"/>
          <w:sz w:val="32"/>
          <w:szCs w:val="32"/>
        </w:rPr>
      </w:pPr>
      <w:r>
        <w:rPr>
          <w:rFonts w:hint="eastAsia" w:ascii="黑体" w:hAnsi="黑体" w:eastAsia="黑体" w:cs="黑体"/>
          <w:kern w:val="0"/>
          <w:sz w:val="32"/>
          <w:szCs w:val="32"/>
        </w:rPr>
        <w:t>六、报送邮箱及地址</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（一）电子邮箱：</w:t>
      </w:r>
      <w:r>
        <w:fldChar w:fldCharType="begin"/>
      </w:r>
      <w:r>
        <w:instrText xml:space="preserve"> HYPERLINK "mailto:gzjkyghb@163.com" </w:instrText>
      </w:r>
      <w:r>
        <w:fldChar w:fldCharType="separate"/>
      </w:r>
      <w:r>
        <w:rPr>
          <w:rFonts w:hint="eastAsia" w:ascii="仿宋" w:hAnsi="仿宋" w:eastAsia="仿宋" w:cs="Arial"/>
          <w:kern w:val="0"/>
          <w:sz w:val="32"/>
          <w:szCs w:val="32"/>
        </w:rPr>
        <w:t>gzjkyghb@163.com</w:t>
      </w:r>
      <w:r>
        <w:rPr>
          <w:rFonts w:hint="eastAsia" w:ascii="仿宋" w:hAnsi="仿宋" w:eastAsia="仿宋" w:cs="Arial"/>
          <w:kern w:val="0"/>
          <w:sz w:val="32"/>
          <w:szCs w:val="32"/>
        </w:rPr>
        <w:fldChar w:fldCharType="end"/>
      </w:r>
      <w:r>
        <w:rPr>
          <w:rFonts w:hint="eastAsia" w:ascii="仿宋" w:hAnsi="仿宋" w:eastAsia="仿宋" w:cs="Arial"/>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 xml:space="preserve">（二）报送地址：贵阳市观山湖区金朱东路162号省教育厅综合楼4楼410室，省教育科学规划领导小组办公室。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textAlignment w:val="auto"/>
        <w:rPr>
          <w:rFonts w:ascii="仿宋" w:hAnsi="仿宋" w:eastAsia="仿宋" w:cs="Arial"/>
          <w:kern w:val="0"/>
          <w:sz w:val="32"/>
          <w:szCs w:val="32"/>
        </w:rPr>
      </w:pPr>
      <w:r>
        <w:rPr>
          <w:rFonts w:hint="eastAsia" w:ascii="仿宋" w:hAnsi="仿宋" w:eastAsia="仿宋" w:cs="Arial"/>
          <w:kern w:val="0"/>
          <w:sz w:val="32"/>
          <w:szCs w:val="32"/>
        </w:rPr>
        <w:t>联系人：杨秀柱,联系电话0851-86743182。</w:t>
      </w:r>
    </w:p>
    <w:sectPr>
      <w:footerReference r:id="rId3" w:type="default"/>
      <w:footerReference r:id="rId4" w:type="even"/>
      <w:pgSz w:w="11906" w:h="16838"/>
      <w:pgMar w:top="1984"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4" o:spid="_x0000_s3074"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BD4008"/>
    <w:multiLevelType w:val="singleLevel"/>
    <w:tmpl w:val="B7BD400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YxYWQ3OGMwZTk1OTk2YWM4OGFhZGFiY2ExMmNkODkifQ=="/>
  </w:docVars>
  <w:rsids>
    <w:rsidRoot w:val="00AF0225"/>
    <w:rsid w:val="000937A5"/>
    <w:rsid w:val="000C27FB"/>
    <w:rsid w:val="000F338C"/>
    <w:rsid w:val="001058B1"/>
    <w:rsid w:val="001236ED"/>
    <w:rsid w:val="002F2CD2"/>
    <w:rsid w:val="0040494D"/>
    <w:rsid w:val="00433B91"/>
    <w:rsid w:val="00526E67"/>
    <w:rsid w:val="00572588"/>
    <w:rsid w:val="00593CF4"/>
    <w:rsid w:val="005D4D64"/>
    <w:rsid w:val="00683F79"/>
    <w:rsid w:val="00694C60"/>
    <w:rsid w:val="006F081A"/>
    <w:rsid w:val="00734635"/>
    <w:rsid w:val="00734DDC"/>
    <w:rsid w:val="007B65F5"/>
    <w:rsid w:val="007D6A7B"/>
    <w:rsid w:val="007E05BC"/>
    <w:rsid w:val="00820A42"/>
    <w:rsid w:val="0099249C"/>
    <w:rsid w:val="009D476B"/>
    <w:rsid w:val="00AA524B"/>
    <w:rsid w:val="00AD0D84"/>
    <w:rsid w:val="00AF0225"/>
    <w:rsid w:val="00AF48BA"/>
    <w:rsid w:val="00B333A1"/>
    <w:rsid w:val="00B712A3"/>
    <w:rsid w:val="00BA3AFA"/>
    <w:rsid w:val="00C7385D"/>
    <w:rsid w:val="00C93DA0"/>
    <w:rsid w:val="00CE18CB"/>
    <w:rsid w:val="00D85ED7"/>
    <w:rsid w:val="00DB7B96"/>
    <w:rsid w:val="00DD3C0D"/>
    <w:rsid w:val="00F173C4"/>
    <w:rsid w:val="00F2284C"/>
    <w:rsid w:val="00F72194"/>
    <w:rsid w:val="00F86554"/>
    <w:rsid w:val="02AB2987"/>
    <w:rsid w:val="032563FA"/>
    <w:rsid w:val="04CD410A"/>
    <w:rsid w:val="0644429B"/>
    <w:rsid w:val="06530F7E"/>
    <w:rsid w:val="07AE70CF"/>
    <w:rsid w:val="08907657"/>
    <w:rsid w:val="092E7AF9"/>
    <w:rsid w:val="0AF17E03"/>
    <w:rsid w:val="150712B5"/>
    <w:rsid w:val="153E6612"/>
    <w:rsid w:val="1B22243C"/>
    <w:rsid w:val="1DCE77ED"/>
    <w:rsid w:val="1E8C1666"/>
    <w:rsid w:val="1F38650F"/>
    <w:rsid w:val="218A02B5"/>
    <w:rsid w:val="22185DA3"/>
    <w:rsid w:val="262D32BC"/>
    <w:rsid w:val="263F16B0"/>
    <w:rsid w:val="264C19C5"/>
    <w:rsid w:val="26AB5818"/>
    <w:rsid w:val="275251C6"/>
    <w:rsid w:val="288770F5"/>
    <w:rsid w:val="2B5A45A9"/>
    <w:rsid w:val="2E365113"/>
    <w:rsid w:val="2F763B7C"/>
    <w:rsid w:val="311F6E58"/>
    <w:rsid w:val="32CC2D9E"/>
    <w:rsid w:val="36015455"/>
    <w:rsid w:val="36E94158"/>
    <w:rsid w:val="371A4A20"/>
    <w:rsid w:val="3AEA4709"/>
    <w:rsid w:val="3D96602A"/>
    <w:rsid w:val="3F6F2B7D"/>
    <w:rsid w:val="400A5252"/>
    <w:rsid w:val="46B71F67"/>
    <w:rsid w:val="46EF36C1"/>
    <w:rsid w:val="47C7061E"/>
    <w:rsid w:val="48BA1BBF"/>
    <w:rsid w:val="4A6A4F1F"/>
    <w:rsid w:val="4F56025C"/>
    <w:rsid w:val="515667CA"/>
    <w:rsid w:val="561A34E3"/>
    <w:rsid w:val="572A6162"/>
    <w:rsid w:val="62B435EF"/>
    <w:rsid w:val="67957E32"/>
    <w:rsid w:val="67D22629"/>
    <w:rsid w:val="6AE34B4E"/>
    <w:rsid w:val="6D4C0881"/>
    <w:rsid w:val="6E012CA7"/>
    <w:rsid w:val="6E0A0C89"/>
    <w:rsid w:val="71175551"/>
    <w:rsid w:val="748443A7"/>
    <w:rsid w:val="74E6729A"/>
    <w:rsid w:val="78AC2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5</Pages>
  <Words>1975</Words>
  <Characters>2065</Characters>
  <Lines>15</Lines>
  <Paragraphs>4</Paragraphs>
  <TotalTime>48</TotalTime>
  <ScaleCrop>false</ScaleCrop>
  <LinksUpToDate>false</LinksUpToDate>
  <CharactersWithSpaces>2071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2023-02-28T00:45:00Z</dcterms:created>
  <dc:creator>深度联盟http:/sdwm.org</dc:creator>
  <cp:lastModifiedBy>LENOVO-1</cp:lastModifiedBy>
  <cp:lastPrinted>2023-03-17T03:08:00Z</cp:lastPrinted>
  <dcterms:modified xsi:type="dcterms:W3CDTF">2023-03-20T01:10:24Z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80EC39668ABA4857906642F3FD1931CA</vt:lpwstr>
  </property>
</Properties>
</file>