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省教育厅“百校千企科技攻关揭榜挂帅榜单”1</w:t>
      </w:r>
      <w:r>
        <w:rPr>
          <w:rFonts w:hint="eastAsia" w:ascii="方正小标宋简体" w:hAnsi="黑体" w:eastAsia="方正小标宋简体" w:cs="方正小标宋简体"/>
          <w:sz w:val="36"/>
          <w:szCs w:val="36"/>
          <w:lang w:val="en-US" w:eastAsia="zh-CN"/>
        </w:rPr>
        <w:t>1</w:t>
      </w:r>
    </w:p>
    <w:p>
      <w:pPr>
        <w:adjustRightInd w:val="0"/>
        <w:snapToGrid w:val="0"/>
        <w:spacing w:line="560" w:lineRule="exact"/>
        <w:jc w:val="center"/>
        <w:rPr>
          <w:rFonts w:hint="eastAsia" w:ascii="方正小标宋简体" w:hAnsi="黑体" w:eastAsia="方正小标宋简体" w:cs="方正小标宋简体"/>
          <w:sz w:val="36"/>
          <w:szCs w:val="36"/>
        </w:rPr>
      </w:pPr>
    </w:p>
    <w:p>
      <w:pPr>
        <w:adjustRightInd w:val="0"/>
        <w:snapToGrid w:val="0"/>
        <w:spacing w:line="560" w:lineRule="exact"/>
        <w:ind w:firstLine="640" w:firstLineChars="200"/>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adjustRightInd w:val="0"/>
        <w:snapToGrid w:val="0"/>
        <w:spacing w:line="560" w:lineRule="exact"/>
        <w:ind w:firstLine="640" w:firstLineChars="200"/>
        <w:rPr>
          <w:rFonts w:ascii="Times New Roman" w:hAnsi="Times New Roman" w:eastAsia="黑体" w:cs="Times New Roman"/>
          <w:kern w:val="2"/>
          <w:sz w:val="32"/>
          <w:szCs w:val="32"/>
        </w:rPr>
      </w:pPr>
      <w:r>
        <w:rPr>
          <w:rStyle w:val="8"/>
          <w:rFonts w:hint="eastAsia" w:ascii="仿宋" w:hAnsi="仿宋" w:eastAsia="仿宋" w:cs="仿宋"/>
          <w:sz w:val="32"/>
          <w:szCs w:val="32"/>
        </w:rPr>
        <w:t>贵州黔北煤田高突低渗煤层强化增透关键技术及应用</w:t>
      </w:r>
    </w:p>
    <w:p>
      <w:pPr>
        <w:adjustRightInd w:val="0"/>
        <w:snapToGrid w:val="0"/>
        <w:spacing w:line="560" w:lineRule="exact"/>
        <w:ind w:firstLine="640" w:firstLineChars="200"/>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adjustRightInd w:val="0"/>
        <w:snapToGrid w:val="0"/>
        <w:spacing w:line="560" w:lineRule="exact"/>
        <w:ind w:firstLine="640" w:firstLineChars="200"/>
        <w:rPr>
          <w:rFonts w:ascii="仿宋" w:hAnsi="仿宋" w:eastAsia="仿宋" w:cs="仿宋"/>
          <w:kern w:val="2"/>
          <w:sz w:val="32"/>
          <w:szCs w:val="32"/>
        </w:rPr>
      </w:pPr>
      <w:r>
        <w:rPr>
          <w:rFonts w:hint="eastAsia" w:ascii="仿宋" w:hAnsi="仿宋" w:eastAsia="仿宋" w:cs="仿宋"/>
          <w:sz w:val="32"/>
          <w:szCs w:val="32"/>
        </w:rPr>
        <w:t>贵州林华矿业有限公司</w:t>
      </w:r>
    </w:p>
    <w:p>
      <w:pPr>
        <w:adjustRightInd w:val="0"/>
        <w:snapToGrid w:val="0"/>
        <w:spacing w:line="560" w:lineRule="exact"/>
        <w:ind w:firstLine="640" w:firstLineChars="200"/>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rPr>
        <w:t>三、</w:t>
      </w:r>
      <w:r>
        <w:rPr>
          <w:rFonts w:ascii="Times New Roman" w:hAnsi="Times New Roman" w:eastAsia="黑体" w:cs="Times New Roman"/>
          <w:kern w:val="2"/>
          <w:sz w:val="32"/>
          <w:szCs w:val="32"/>
        </w:rPr>
        <w:t>需求方简介</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林华煤矿隶属国家电投集团贵州金元股份有限公司下属能发公司的全资公司。矿井井田面积</w:t>
      </w:r>
      <w:r>
        <w:rPr>
          <w:rFonts w:ascii="仿宋" w:hAnsi="仿宋" w:eastAsia="仿宋" w:cs="仿宋"/>
          <w:color w:val="auto"/>
          <w:sz w:val="32"/>
          <w:szCs w:val="32"/>
          <w:shd w:val="clear" w:color="auto" w:fill="FFFFFF"/>
        </w:rPr>
        <w:t>21.8平方公里，总资源量为16190万吨，可采储量为9835万吨，生产能力为150万t/a的煤与瓦斯突出矿井，服务年限78年。煤矿配套建设有一座瓦斯发电站，装有35台发电机组，装机容量19.1MW；同时配套一座洗选能力为90万t/a的洗煤厂。生产的粉煤全部销往周边电厂，丁煤、块煤主要销往省内外市场作为冶金、化工、石灰石掺烧的动力用煤。</w:t>
      </w:r>
    </w:p>
    <w:p>
      <w:pPr>
        <w:adjustRightInd w:val="0"/>
        <w:snapToGrid w:val="0"/>
        <w:spacing w:line="560" w:lineRule="exact"/>
        <w:ind w:firstLine="640" w:firstLineChars="200"/>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adjustRightInd w:val="0"/>
        <w:snapToGrid w:val="0"/>
        <w:spacing w:line="560" w:lineRule="exact"/>
        <w:ind w:firstLine="642" w:firstLineChars="200"/>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adjustRightInd w:val="0"/>
        <w:snapToGrid w:val="0"/>
        <w:spacing w:line="560" w:lineRule="exact"/>
        <w:ind w:firstLine="640" w:firstLineChars="200"/>
        <w:rPr>
          <w:rStyle w:val="8"/>
          <w:rFonts w:ascii="仿宋" w:hAnsi="仿宋" w:eastAsia="仿宋" w:cs="仿宋"/>
          <w:sz w:val="32"/>
          <w:szCs w:val="32"/>
        </w:rPr>
      </w:pPr>
      <w:r>
        <w:rPr>
          <w:rStyle w:val="8"/>
          <w:rFonts w:hint="eastAsia" w:ascii="仿宋" w:hAnsi="仿宋" w:eastAsia="仿宋" w:cs="仿宋"/>
          <w:sz w:val="32"/>
          <w:szCs w:val="32"/>
        </w:rPr>
        <w:t>贵州省煤炭资源丰富，是我国南方重要的能源基地，也是“西电东送”的主要能源输出地之一。然而省内大部分煤炭资源开采受到瓦斯灾害威胁，由于煤层赋存条件不同，煤层瓦斯压力及煤层透气性的差异造成不同地区煤层瓦斯抽采技术不尽相同。林华矿业有限公司下属的林华煤矿主采</w:t>
      </w:r>
      <w:r>
        <w:rPr>
          <w:rStyle w:val="8"/>
          <w:rFonts w:ascii="仿宋" w:hAnsi="仿宋" w:eastAsia="仿宋" w:cs="仿宋"/>
          <w:sz w:val="32"/>
          <w:szCs w:val="32"/>
        </w:rPr>
        <w:t>9号煤层，该煤层瓦斯压力2.05MPa，瓦斯含量23.42m3/t，煤的坚固性系数fmin=0.35，透气性系数为0.05</w:t>
      </w:r>
      <w:r>
        <w:rPr>
          <w:rStyle w:val="8"/>
          <w:rFonts w:hint="eastAsia" w:ascii="仿宋" w:hAnsi="仿宋" w:eastAsia="仿宋" w:cs="仿宋"/>
          <w:sz w:val="32"/>
          <w:szCs w:val="32"/>
          <w:lang w:val="en-US"/>
        </w:rPr>
        <w:t>-</w:t>
      </w:r>
      <w:r>
        <w:rPr>
          <w:rStyle w:val="8"/>
          <w:rFonts w:ascii="仿宋" w:hAnsi="仿宋" w:eastAsia="仿宋" w:cs="仿宋"/>
          <w:sz w:val="32"/>
          <w:szCs w:val="32"/>
        </w:rPr>
        <w:t>7.17m2/(MPa2</w:t>
      </w:r>
      <w:r>
        <w:rPr>
          <w:rStyle w:val="8"/>
          <w:rFonts w:hint="eastAsia" w:ascii="微软雅黑" w:hAnsi="微软雅黑" w:eastAsia="微软雅黑" w:cs="微软雅黑"/>
          <w:sz w:val="32"/>
          <w:szCs w:val="32"/>
        </w:rPr>
        <w:t>•</w:t>
      </w:r>
      <w:r>
        <w:rPr>
          <w:rStyle w:val="8"/>
          <w:rFonts w:ascii="仿宋" w:hAnsi="仿宋" w:eastAsia="仿宋" w:cs="仿宋"/>
          <w:sz w:val="32"/>
          <w:szCs w:val="32"/>
        </w:rPr>
        <w:t>d)，煤层瓦斯抽采难易程度为较难抽采</w:t>
      </w:r>
      <w:r>
        <w:rPr>
          <w:rStyle w:val="8"/>
          <w:rFonts w:hint="eastAsia" w:ascii="仿宋" w:hAnsi="仿宋" w:eastAsia="仿宋" w:cs="仿宋"/>
          <w:sz w:val="32"/>
          <w:szCs w:val="32"/>
        </w:rPr>
        <w:t>，</w:t>
      </w:r>
      <w:r>
        <w:rPr>
          <w:rStyle w:val="8"/>
          <w:rFonts w:ascii="仿宋" w:hAnsi="仿宋" w:eastAsia="仿宋" w:cs="仿宋"/>
          <w:sz w:val="32"/>
          <w:szCs w:val="32"/>
        </w:rPr>
        <w:t>普通钻孔抽采效率低，抽采达标时间长，工作面本煤层抽采达标时间长达90 d，严重制约了矿井采掘接替。瓦斯抽采难题严重影响煤矿安全，成为制约煤矿高产高效发展的瓶颈，因此如何增加煤层的透气性成为瓦斯防治工</w:t>
      </w:r>
      <w:r>
        <w:rPr>
          <w:rStyle w:val="8"/>
          <w:rFonts w:hint="eastAsia" w:ascii="仿宋" w:hAnsi="仿宋" w:eastAsia="仿宋" w:cs="仿宋"/>
          <w:sz w:val="32"/>
          <w:szCs w:val="32"/>
        </w:rPr>
        <w:t>作的关键。</w:t>
      </w:r>
    </w:p>
    <w:p>
      <w:pPr>
        <w:adjustRightInd w:val="0"/>
        <w:snapToGrid w:val="0"/>
        <w:spacing w:line="560" w:lineRule="exact"/>
        <w:ind w:firstLine="642" w:firstLineChars="200"/>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该技术聚力贵州省新型综合能源基地建设，解决贵州省毕节市黔北煤田典型瓦斯抽采难题，根据贵州林华矿业有限公司林华煤矿</w:t>
      </w:r>
      <w:r>
        <w:rPr>
          <w:rFonts w:ascii="仿宋" w:hAnsi="仿宋" w:eastAsia="仿宋" w:cs="仿宋"/>
          <w:sz w:val="32"/>
          <w:szCs w:val="32"/>
        </w:rPr>
        <w:t>9号煤层赋存特征，开发适合本地区煤矿井下瓦斯强化抽采技术，主要完成以下</w:t>
      </w:r>
      <w:r>
        <w:rPr>
          <w:rFonts w:hint="eastAsia" w:ascii="仿宋" w:hAnsi="仿宋" w:eastAsia="仿宋" w:cs="仿宋"/>
          <w:sz w:val="32"/>
          <w:szCs w:val="32"/>
        </w:rPr>
        <w:t>攻关</w:t>
      </w:r>
      <w:r>
        <w:rPr>
          <w:rFonts w:ascii="仿宋" w:hAnsi="仿宋" w:eastAsia="仿宋" w:cs="仿宋"/>
          <w:sz w:val="32"/>
          <w:szCs w:val="32"/>
        </w:rPr>
        <w:t>内容：</w:t>
      </w:r>
    </w:p>
    <w:p>
      <w:pPr>
        <w:adjustRightInd w:val="0"/>
        <w:snapToGrid w:val="0"/>
        <w:spacing w:line="560" w:lineRule="exact"/>
        <w:ind w:firstLine="640" w:firstLineChars="200"/>
        <w:rPr>
          <w:rFonts w:ascii="仿宋" w:hAnsi="仿宋" w:eastAsia="仿宋" w:cs="仿宋"/>
          <w:sz w:val="32"/>
          <w:szCs w:val="32"/>
        </w:rPr>
      </w:pPr>
      <w:r>
        <w:rPr>
          <w:rFonts w:ascii="仿宋" w:hAnsi="仿宋" w:eastAsia="仿宋" w:cs="仿宋"/>
          <w:sz w:val="32"/>
          <w:szCs w:val="32"/>
        </w:rPr>
        <w:t>1.复杂瓦斯地质条件下高突低渗煤层水力压裂参数优化</w:t>
      </w:r>
      <w:r>
        <w:rPr>
          <w:rFonts w:hint="eastAsia" w:ascii="仿宋" w:hAnsi="仿宋" w:eastAsia="仿宋" w:cs="仿宋"/>
          <w:sz w:val="32"/>
          <w:szCs w:val="32"/>
        </w:rPr>
        <w:t>针对林华煤矿</w:t>
      </w:r>
      <w:r>
        <w:rPr>
          <w:rFonts w:ascii="仿宋" w:hAnsi="仿宋" w:eastAsia="仿宋" w:cs="仿宋"/>
          <w:sz w:val="32"/>
          <w:szCs w:val="32"/>
        </w:rPr>
        <w:t>9号煤层透气性极低、瓦斯含量高、瓦斯压力大、地质构造复杂等复杂瓦斯地质条件，通过开展该矿9号煤层煤体吸附解吸特性、水力压裂过程中煤岩体损伤及裂缝扩展规律、支撑剂与添加剂优选等相关实验，开发出适合该矿的水力压裂增透工艺，并通过现场实施优化压裂参数。水力压裂增透后瓦斯抽采半径大于5m，煤层瓦斯抽采率大于60%，可解吸瓦斯量小于6m3/t。</w:t>
      </w:r>
    </w:p>
    <w:p>
      <w:pPr>
        <w:adjustRightInd w:val="0"/>
        <w:snapToGrid w:val="0"/>
        <w:spacing w:line="560" w:lineRule="exact"/>
        <w:ind w:firstLine="640" w:firstLineChars="200"/>
        <w:rPr>
          <w:rFonts w:ascii="仿宋" w:hAnsi="仿宋" w:eastAsia="仿宋" w:cs="仿宋"/>
          <w:sz w:val="32"/>
          <w:szCs w:val="32"/>
        </w:rPr>
      </w:pPr>
      <w:r>
        <w:rPr>
          <w:rFonts w:ascii="仿宋" w:hAnsi="仿宋" w:eastAsia="仿宋" w:cs="仿宋"/>
          <w:sz w:val="32"/>
          <w:szCs w:val="32"/>
        </w:rPr>
        <w:t>2.水力压裂装备集成与优化</w:t>
      </w:r>
    </w:p>
    <w:p>
      <w:pPr>
        <w:adjustRightInd w:val="0"/>
        <w:snapToGrid w:val="0"/>
        <w:spacing w:line="560" w:lineRule="exact"/>
        <w:rPr>
          <w:rFonts w:ascii="仿宋" w:hAnsi="仿宋" w:eastAsia="仿宋" w:cs="仿宋"/>
          <w:sz w:val="32"/>
          <w:szCs w:val="32"/>
        </w:rPr>
      </w:pPr>
      <w:r>
        <w:rPr>
          <w:rFonts w:hint="eastAsia" w:ascii="仿宋" w:hAnsi="仿宋" w:eastAsia="仿宋" w:cs="仿宋"/>
          <w:sz w:val="32"/>
          <w:szCs w:val="32"/>
        </w:rPr>
        <w:t>针对林华煤矿</w:t>
      </w:r>
      <w:r>
        <w:rPr>
          <w:rFonts w:ascii="仿宋" w:hAnsi="仿宋" w:eastAsia="仿宋" w:cs="仿宋"/>
          <w:sz w:val="32"/>
          <w:szCs w:val="32"/>
        </w:rPr>
        <w:t>9号煤层的瓦斯地质参数，优选适合该矿的水力压裂装备，并形成系统化的水力压裂配套装备。</w:t>
      </w:r>
    </w:p>
    <w:p>
      <w:pPr>
        <w:adjustRightInd w:val="0"/>
        <w:snapToGrid w:val="0"/>
        <w:spacing w:line="560" w:lineRule="exact"/>
        <w:ind w:firstLine="640" w:firstLineChars="200"/>
        <w:rPr>
          <w:rFonts w:ascii="仿宋" w:hAnsi="仿宋" w:eastAsia="仿宋" w:cs="仿宋"/>
          <w:sz w:val="32"/>
          <w:szCs w:val="32"/>
        </w:rPr>
      </w:pPr>
      <w:r>
        <w:rPr>
          <w:rFonts w:ascii="仿宋" w:hAnsi="仿宋" w:eastAsia="仿宋" w:cs="仿宋"/>
          <w:sz w:val="32"/>
          <w:szCs w:val="32"/>
        </w:rPr>
        <w:t>3.强化增透效果量化评价指标体系</w:t>
      </w:r>
    </w:p>
    <w:p>
      <w:pPr>
        <w:adjustRightInd w:val="0"/>
        <w:snapToGrid w:val="0"/>
        <w:spacing w:line="560" w:lineRule="exact"/>
        <w:rPr>
          <w:rFonts w:ascii="仿宋" w:hAnsi="仿宋" w:eastAsia="仿宋" w:cs="仿宋"/>
          <w:sz w:val="32"/>
          <w:szCs w:val="32"/>
        </w:rPr>
      </w:pPr>
      <w:r>
        <w:rPr>
          <w:rFonts w:hint="eastAsia" w:ascii="仿宋" w:hAnsi="仿宋" w:eastAsia="仿宋" w:cs="仿宋"/>
          <w:sz w:val="32"/>
          <w:szCs w:val="32"/>
        </w:rPr>
        <w:t>针对林华煤矿</w:t>
      </w:r>
      <w:r>
        <w:rPr>
          <w:rFonts w:ascii="仿宋" w:hAnsi="仿宋" w:eastAsia="仿宋" w:cs="仿宋"/>
          <w:sz w:val="32"/>
          <w:szCs w:val="32"/>
        </w:rPr>
        <w:t>9号煤层，建立复杂地质条件煤层强化增透效果量化评价指标体系，形成不同应力条件、瓦斯压力等复杂地质环境适用性水力压裂增透技术标准，提高水力压裂煤层增透技术实施成功率。编制《林华煤矿9号煤层水力压裂技术规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adjustRightInd w:val="0"/>
        <w:snapToGrid w:val="0"/>
        <w:spacing w:line="560" w:lineRule="exact"/>
        <w:ind w:firstLine="642" w:firstLineChars="200"/>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adjustRightInd w:val="0"/>
        <w:snapToGrid w:val="0"/>
        <w:spacing w:line="560" w:lineRule="exact"/>
        <w:ind w:firstLine="640" w:firstLineChars="200"/>
        <w:rPr>
          <w:rStyle w:val="8"/>
          <w:rFonts w:ascii="仿宋" w:hAnsi="仿宋" w:eastAsia="仿宋" w:cs="仿宋"/>
          <w:sz w:val="32"/>
          <w:szCs w:val="32"/>
        </w:rPr>
      </w:pPr>
      <w:r>
        <w:rPr>
          <w:rStyle w:val="8"/>
          <w:rFonts w:hint="eastAsia" w:ascii="仿宋" w:hAnsi="仿宋" w:eastAsia="仿宋" w:cs="仿宋"/>
          <w:sz w:val="32"/>
          <w:szCs w:val="32"/>
        </w:rPr>
        <w:t>拟根据林华煤矿</w:t>
      </w:r>
      <w:r>
        <w:rPr>
          <w:rStyle w:val="8"/>
          <w:rFonts w:ascii="仿宋" w:hAnsi="仿宋" w:eastAsia="仿宋" w:cs="仿宋"/>
          <w:sz w:val="32"/>
          <w:szCs w:val="32"/>
        </w:rPr>
        <w:t>9号煤层赋存参数开展具有针对性的水力压裂相关室内试验、相似模拟、理论分析、数值模拟计算等对水力压裂关键参数进行遴选优化。通过上述煤层强化增透关键技术，在林华煤矿进行示范应用，有效增加井下瓦斯抽采效率，解决矿井接替紧张难题，减少上述瓦斯灾害发生造成的人员伤亡和财产损失，</w:t>
      </w:r>
      <w:r>
        <w:rPr>
          <w:rStyle w:val="8"/>
          <w:rFonts w:hint="eastAsia" w:ascii="仿宋" w:hAnsi="仿宋" w:eastAsia="仿宋" w:cs="仿宋"/>
          <w:sz w:val="32"/>
          <w:szCs w:val="32"/>
        </w:rPr>
        <w:t>并据此编制研究报告一份</w:t>
      </w:r>
      <w:r>
        <w:rPr>
          <w:rStyle w:val="8"/>
          <w:rFonts w:ascii="仿宋" w:hAnsi="仿宋" w:eastAsia="仿宋" w:cs="仿宋"/>
          <w:sz w:val="32"/>
          <w:szCs w:val="32"/>
        </w:rPr>
        <w:t>。</w:t>
      </w:r>
    </w:p>
    <w:p>
      <w:pPr>
        <w:adjustRightInd w:val="0"/>
        <w:snapToGrid w:val="0"/>
        <w:spacing w:line="560" w:lineRule="exact"/>
        <w:ind w:left="638" w:leftChars="266"/>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adjustRightInd w:val="0"/>
        <w:snapToGrid w:val="0"/>
        <w:spacing w:line="560" w:lineRule="exact"/>
        <w:ind w:firstLine="640" w:firstLineChars="200"/>
        <w:rPr>
          <w:rStyle w:val="8"/>
          <w:rFonts w:ascii="仿宋" w:hAnsi="仿宋" w:eastAsia="仿宋" w:cs="仿宋"/>
          <w:sz w:val="32"/>
          <w:szCs w:val="32"/>
        </w:rPr>
      </w:pPr>
      <w:r>
        <w:rPr>
          <w:rStyle w:val="8"/>
          <w:rFonts w:hint="eastAsia" w:ascii="仿宋" w:hAnsi="仿宋" w:eastAsia="仿宋" w:cs="仿宋"/>
          <w:sz w:val="32"/>
          <w:szCs w:val="32"/>
        </w:rPr>
        <w:t>1</w:t>
      </w:r>
      <w:r>
        <w:rPr>
          <w:rStyle w:val="8"/>
          <w:rFonts w:ascii="仿宋" w:hAnsi="仿宋" w:eastAsia="仿宋" w:cs="仿宋"/>
          <w:sz w:val="32"/>
          <w:szCs w:val="32"/>
        </w:rPr>
        <w:t>.开发出适合该矿的水力压裂增透技术，抽采效果达到预期目标，水力压裂增透后瓦斯抽采半径大于5m，煤层瓦斯抽采率大于60%，可解吸瓦斯量小于6m3/t。</w:t>
      </w:r>
    </w:p>
    <w:p>
      <w:pPr>
        <w:adjustRightInd w:val="0"/>
        <w:snapToGrid w:val="0"/>
        <w:spacing w:line="560" w:lineRule="exact"/>
        <w:ind w:firstLine="640" w:firstLineChars="200"/>
        <w:rPr>
          <w:rStyle w:val="8"/>
          <w:rFonts w:ascii="仿宋" w:hAnsi="仿宋" w:eastAsia="仿宋" w:cs="仿宋"/>
          <w:sz w:val="32"/>
          <w:szCs w:val="32"/>
        </w:rPr>
      </w:pPr>
      <w:r>
        <w:rPr>
          <w:rStyle w:val="8"/>
          <w:rFonts w:hint="eastAsia" w:ascii="仿宋" w:hAnsi="仿宋" w:eastAsia="仿宋" w:cs="仿宋"/>
          <w:sz w:val="32"/>
          <w:szCs w:val="32"/>
        </w:rPr>
        <w:t>2</w:t>
      </w:r>
      <w:r>
        <w:rPr>
          <w:rStyle w:val="8"/>
          <w:rFonts w:ascii="仿宋" w:hAnsi="仿宋" w:eastAsia="仿宋" w:cs="仿宋"/>
          <w:sz w:val="32"/>
          <w:szCs w:val="32"/>
        </w:rPr>
        <w:t>.通过项目实施，林华煤矿实现新增相关产值超过500万元以上。</w:t>
      </w:r>
    </w:p>
    <w:p>
      <w:pPr>
        <w:adjustRightInd w:val="0"/>
        <w:snapToGrid w:val="0"/>
        <w:spacing w:line="560" w:lineRule="exact"/>
        <w:ind w:firstLine="640" w:firstLineChars="200"/>
        <w:rPr>
          <w:rFonts w:ascii="仿宋" w:hAnsi="仿宋" w:eastAsia="仿宋" w:cs="仿宋"/>
          <w:sz w:val="32"/>
          <w:szCs w:val="32"/>
        </w:rPr>
      </w:pPr>
      <w:r>
        <w:rPr>
          <w:rStyle w:val="8"/>
          <w:rFonts w:hint="eastAsia" w:ascii="仿宋" w:hAnsi="仿宋" w:eastAsia="仿宋" w:cs="仿宋"/>
          <w:sz w:val="32"/>
          <w:szCs w:val="32"/>
        </w:rPr>
        <w:t>3</w:t>
      </w:r>
      <w:r>
        <w:rPr>
          <w:rStyle w:val="8"/>
          <w:rFonts w:ascii="仿宋" w:hAnsi="仿宋" w:eastAsia="仿宋" w:cs="仿宋"/>
          <w:sz w:val="32"/>
          <w:szCs w:val="32"/>
        </w:rPr>
        <w:t>.成果可推广应用于贵州黔北煤田其他矿井，用于解决低透煤层瓦斯强化增透技术难题。</w:t>
      </w:r>
    </w:p>
    <w:p>
      <w:pPr>
        <w:adjustRightInd w:val="0"/>
        <w:snapToGrid w:val="0"/>
        <w:spacing w:line="560" w:lineRule="exact"/>
        <w:ind w:firstLine="642" w:firstLineChars="200"/>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adjustRightInd w:val="0"/>
        <w:snapToGrid w:val="0"/>
        <w:spacing w:line="560" w:lineRule="exact"/>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218" w:rightChars="91" w:firstLine="640" w:firstLineChars="200"/>
        <w:textAlignment w:val="auto"/>
      </w:pPr>
      <w:r>
        <w:rPr>
          <w:rFonts w:hint="eastAsia" w:ascii="仿宋" w:hAnsi="仿宋" w:eastAsia="仿宋" w:cs="仿宋"/>
          <w:color w:val="000000" w:themeColor="text1"/>
          <w:sz w:val="32"/>
          <w:szCs w:val="32"/>
          <w14:textFill>
            <w14:solidFill>
              <w14:schemeClr w14:val="tx1"/>
            </w14:solidFill>
          </w14:textFill>
        </w:rPr>
        <w:t>揭榜方需具备技术榜单相关的研究基础。</w:t>
      </w:r>
    </w:p>
    <w:p>
      <w:pPr>
        <w:adjustRightInd w:val="0"/>
        <w:snapToGrid w:val="0"/>
        <w:spacing w:line="560" w:lineRule="exact"/>
        <w:ind w:firstLine="642" w:firstLineChars="200"/>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本项目履行过程中所产生的专利、技术标准等知识产权归属于双方共有，优先在贵州省进行成果转化。</w:t>
      </w:r>
    </w:p>
    <w:p>
      <w:pPr>
        <w:adjustRightInd w:val="0"/>
        <w:snapToGrid w:val="0"/>
        <w:spacing w:line="560" w:lineRule="exact"/>
        <w:ind w:firstLine="642" w:firstLineChars="200"/>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w:t>
      </w:r>
      <w:r>
        <w:rPr>
          <w:rFonts w:hint="eastAsia" w:ascii="Times New Roman" w:hAnsi="Times New Roman" w:eastAsia="楷体_GB2312" w:cs="Times New Roman"/>
          <w:b/>
          <w:bCs/>
          <w:kern w:val="2"/>
          <w:sz w:val="32"/>
          <w:szCs w:val="32"/>
        </w:rPr>
        <w:t>三</w:t>
      </w:r>
      <w:r>
        <w:rPr>
          <w:rFonts w:ascii="Times New Roman" w:hAnsi="Times New Roman" w:eastAsia="楷体_GB2312" w:cs="Times New Roman"/>
          <w:b/>
          <w:bCs/>
          <w:kern w:val="2"/>
          <w:sz w:val="32"/>
          <w:szCs w:val="32"/>
        </w:rPr>
        <w:t>）</w:t>
      </w:r>
      <w:r>
        <w:rPr>
          <w:rFonts w:hint="eastAsia" w:ascii="Times New Roman" w:hAnsi="Times New Roman" w:eastAsia="楷体_GB2312" w:cs="Times New Roman"/>
          <w:b/>
          <w:bCs/>
          <w:kern w:val="2"/>
          <w:sz w:val="32"/>
          <w:szCs w:val="32"/>
        </w:rPr>
        <w:t>利益分配</w:t>
      </w:r>
      <w:bookmarkStart w:id="0" w:name="_GoBack"/>
      <w:bookmarkEnd w:id="0"/>
    </w:p>
    <w:p>
      <w:pPr>
        <w:adjustRightInd w:val="0"/>
        <w:snapToGrid w:val="0"/>
        <w:spacing w:line="560" w:lineRule="exact"/>
        <w:ind w:firstLine="640" w:firstLineChars="200"/>
      </w:pPr>
      <w:r>
        <w:rPr>
          <w:rFonts w:hint="eastAsia" w:ascii="仿宋" w:hAnsi="仿宋" w:eastAsia="仿宋" w:cs="仿宋"/>
          <w:color w:val="000000" w:themeColor="text1"/>
          <w:sz w:val="32"/>
          <w:szCs w:val="32"/>
          <w14:textFill>
            <w14:solidFill>
              <w14:schemeClr w14:val="tx1"/>
            </w14:solidFill>
          </w14:textFill>
        </w:rPr>
        <w:t>对共有技术成果的独占许可、排他许可、转让等处置行为，需经发榜方、揭榜方双方协商，并履行各自审批手续，因技术成果产生的收益由发榜方和揭榜方共同协商决定。</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楷体_GB2312">
    <w:altName w:val="方正楷体_GBK"/>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283330"/>
    <w:rsid w:val="004C0AE7"/>
    <w:rsid w:val="007878E9"/>
    <w:rsid w:val="00801A7E"/>
    <w:rsid w:val="009C75EC"/>
    <w:rsid w:val="00A514EF"/>
    <w:rsid w:val="00A94F98"/>
    <w:rsid w:val="00AA31AE"/>
    <w:rsid w:val="00AD5C30"/>
    <w:rsid w:val="00C40347"/>
    <w:rsid w:val="00E21AB4"/>
    <w:rsid w:val="00EE2848"/>
    <w:rsid w:val="00F06B3A"/>
    <w:rsid w:val="00F35B3E"/>
    <w:rsid w:val="00FA3B69"/>
    <w:rsid w:val="09814A43"/>
    <w:rsid w:val="15DB35DD"/>
    <w:rsid w:val="175E0D26"/>
    <w:rsid w:val="1790019C"/>
    <w:rsid w:val="1C231A28"/>
    <w:rsid w:val="230E75B5"/>
    <w:rsid w:val="29F60A01"/>
    <w:rsid w:val="2DC046A1"/>
    <w:rsid w:val="307C4DF8"/>
    <w:rsid w:val="30DA5678"/>
    <w:rsid w:val="35EC5749"/>
    <w:rsid w:val="36450112"/>
    <w:rsid w:val="407E7B8C"/>
    <w:rsid w:val="479E3B1A"/>
    <w:rsid w:val="55AC37E9"/>
    <w:rsid w:val="590C4A99"/>
    <w:rsid w:val="5BD1378C"/>
    <w:rsid w:val="67FD5112"/>
    <w:rsid w:val="6FE76B5E"/>
    <w:rsid w:val="7EF78E6E"/>
    <w:rsid w:val="CFF68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 w:type="paragraph" w:customStyle="1" w:styleId="13">
    <w:name w:val="Revision"/>
    <w:hidden/>
    <w:unhideWhenUsed/>
    <w:qFormat/>
    <w:uiPriority w:val="99"/>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274</Words>
  <Characters>1567</Characters>
  <Lines>13</Lines>
  <Paragraphs>3</Paragraphs>
  <TotalTime>2</TotalTime>
  <ScaleCrop>false</ScaleCrop>
  <LinksUpToDate>false</LinksUpToDate>
  <CharactersWithSpaces>1838</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2022-08-26T17:51:00Z</dcterms:created>
  <dc:creator>马春丽</dc:creator>
  <cp:lastModifiedBy>ysgz</cp:lastModifiedBy>
  <cp:lastPrinted>2024-04-04T02:48:00Z</cp:lastPrinted>
  <dcterms:modified xsi:type="dcterms:W3CDTF">2024-04-19T11:34:08Z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