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方正小标宋简体" w:hAnsi="黑体" w:eastAsia="方正小标宋简体" w:cs="方正小标宋简体"/>
          <w:sz w:val="36"/>
          <w:szCs w:val="36"/>
          <w:lang w:val="en-US" w:eastAsia="zh-CN"/>
        </w:rPr>
      </w:pPr>
      <w:r>
        <w:rPr>
          <w:rFonts w:hint="eastAsia" w:ascii="方正小标宋简体" w:hAnsi="黑体" w:eastAsia="方正小标宋简体" w:cs="方正小标宋简体"/>
          <w:sz w:val="36"/>
          <w:szCs w:val="36"/>
        </w:rPr>
        <w:t>省教育厅“百校千企科技攻关揭榜挂帅榜单”1</w:t>
      </w:r>
      <w:r>
        <w:rPr>
          <w:rFonts w:hint="eastAsia" w:ascii="方正小标宋简体" w:hAnsi="黑体" w:eastAsia="方正小标宋简体" w:cs="方正小标宋简体"/>
          <w:sz w:val="36"/>
          <w:szCs w:val="36"/>
          <w:lang w:val="en-US" w:eastAsia="zh-CN"/>
        </w:rPr>
        <w:t>2</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方正小标宋简体" w:hAnsi="黑体" w:eastAsia="方正小标宋简体" w:cs="方正小标宋简体"/>
          <w:sz w:val="36"/>
          <w:szCs w:val="36"/>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一、技术需求名称</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黑体" w:cs="Times New Roman"/>
          <w:kern w:val="2"/>
          <w:sz w:val="32"/>
          <w:szCs w:val="32"/>
        </w:rPr>
      </w:pPr>
      <w:r>
        <w:rPr>
          <w:rStyle w:val="8"/>
          <w:rFonts w:hint="eastAsia" w:ascii="仿宋" w:hAnsi="仿宋" w:eastAsia="仿宋" w:cs="仿宋"/>
          <w:sz w:val="32"/>
          <w:szCs w:val="32"/>
        </w:rPr>
        <w:t>喀斯特地质条件下离层水害防治关键技术及应用</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二、技术需求企业</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 w:hAnsi="仿宋" w:eastAsia="仿宋" w:cs="仿宋"/>
          <w:kern w:val="2"/>
          <w:sz w:val="32"/>
          <w:szCs w:val="32"/>
        </w:rPr>
      </w:pPr>
      <w:r>
        <w:rPr>
          <w:rFonts w:hint="eastAsia" w:ascii="仿宋" w:hAnsi="仿宋" w:eastAsia="仿宋" w:cs="仿宋"/>
          <w:sz w:val="32"/>
          <w:szCs w:val="32"/>
        </w:rPr>
        <w:t>贵州大西南矿业有限公司</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黑体" w:cs="Times New Roman"/>
          <w:kern w:val="2"/>
          <w:sz w:val="32"/>
          <w:szCs w:val="32"/>
        </w:rPr>
      </w:pPr>
      <w:r>
        <w:rPr>
          <w:rFonts w:hint="eastAsia" w:ascii="Times New Roman" w:hAnsi="Times New Roman" w:eastAsia="黑体" w:cs="Times New Roman"/>
          <w:kern w:val="2"/>
          <w:sz w:val="32"/>
          <w:szCs w:val="32"/>
        </w:rPr>
        <w:t>三、</w:t>
      </w:r>
      <w:r>
        <w:rPr>
          <w:rFonts w:ascii="Times New Roman" w:hAnsi="Times New Roman" w:eastAsia="黑体" w:cs="Times New Roman"/>
          <w:kern w:val="2"/>
          <w:sz w:val="32"/>
          <w:szCs w:val="32"/>
        </w:rPr>
        <w:t>需求方简介</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 w:hAnsi="仿宋" w:eastAsia="仿宋" w:cs="仿宋"/>
          <w:color w:val="auto"/>
          <w:sz w:val="32"/>
          <w:szCs w:val="32"/>
          <w:shd w:val="clear" w:color="auto" w:fill="FFFFFF"/>
        </w:rPr>
      </w:pPr>
      <w:r>
        <w:rPr>
          <w:rFonts w:hint="eastAsia" w:ascii="仿宋" w:hAnsi="仿宋" w:eastAsia="仿宋" w:cs="仿宋"/>
          <w:color w:val="auto"/>
          <w:sz w:val="32"/>
          <w:szCs w:val="32"/>
          <w:shd w:val="clear" w:color="auto" w:fill="FFFFFF"/>
        </w:rPr>
        <w:t>贵州大西南矿业有限公司系大西南投资集团有限责任公司全资控股子公司，</w:t>
      </w:r>
      <w:r>
        <w:rPr>
          <w:rFonts w:ascii="仿宋" w:hAnsi="仿宋" w:eastAsia="仿宋" w:cs="仿宋"/>
          <w:color w:val="auto"/>
          <w:sz w:val="32"/>
          <w:szCs w:val="32"/>
          <w:shd w:val="clear" w:color="auto" w:fill="FFFFFF"/>
        </w:rPr>
        <w:t>是大西南投资集团有限责任公司进行煤炭投资开发的主要平台。近年来，贵州大西南矿业有限</w:t>
      </w:r>
      <w:r>
        <w:rPr>
          <w:rFonts w:hint="eastAsia" w:ascii="仿宋" w:hAnsi="仿宋" w:eastAsia="仿宋" w:cs="仿宋"/>
          <w:color w:val="auto"/>
          <w:sz w:val="32"/>
          <w:szCs w:val="32"/>
          <w:shd w:val="clear" w:color="auto" w:fill="FFFFFF"/>
        </w:rPr>
        <w:t>公司始终把科技创新转型升级作为推动发展的新引擎，</w:t>
      </w:r>
      <w:r>
        <w:rPr>
          <w:rFonts w:ascii="仿宋" w:hAnsi="仿宋" w:eastAsia="仿宋" w:cs="仿宋"/>
          <w:color w:val="auto"/>
          <w:sz w:val="32"/>
          <w:szCs w:val="32"/>
          <w:shd w:val="clear" w:color="auto" w:fill="FFFFFF"/>
        </w:rPr>
        <w:t>坚定走“机械化换人</w:t>
      </w:r>
      <w:r>
        <w:rPr>
          <w:rFonts w:hint="eastAsia" w:ascii="仿宋" w:hAnsi="仿宋" w:eastAsia="仿宋" w:cs="仿宋"/>
          <w:color w:val="auto"/>
          <w:sz w:val="32"/>
          <w:szCs w:val="32"/>
          <w:shd w:val="clear" w:color="auto" w:fill="FFFFFF"/>
        </w:rPr>
        <w:t>，</w:t>
      </w:r>
      <w:r>
        <w:rPr>
          <w:rFonts w:ascii="仿宋" w:hAnsi="仿宋" w:eastAsia="仿宋" w:cs="仿宋"/>
          <w:color w:val="auto"/>
          <w:sz w:val="32"/>
          <w:szCs w:val="32"/>
          <w:shd w:val="clear" w:color="auto" w:fill="FFFFFF"/>
        </w:rPr>
        <w:t>自动化减人”发展道路，各矿均已按照贵州省相关部门要求，实现了矿井智能化建设，尤其是贵源煤矿采煤工作面实现了智能化工作面，安能煤矿10507综采智能化工作面正式投产，实现了第二个智能化工作面。</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四、技术需求描述</w:t>
      </w:r>
    </w:p>
    <w:p>
      <w:pPr>
        <w:keepNext w:val="0"/>
        <w:keepLines w:val="0"/>
        <w:pageBreakBefore w:val="0"/>
        <w:widowControl w:val="0"/>
        <w:kinsoku/>
        <w:wordWrap/>
        <w:overflowPunct/>
        <w:topLinePunct w:val="0"/>
        <w:autoSpaceDE/>
        <w:autoSpaceDN/>
        <w:bidi w:val="0"/>
        <w:adjustRightInd w:val="0"/>
        <w:snapToGrid w:val="0"/>
        <w:spacing w:line="560" w:lineRule="exact"/>
        <w:ind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（一）技术难题</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Style w:val="8"/>
          <w:rFonts w:ascii="仿宋" w:hAnsi="仿宋" w:eastAsia="仿宋" w:cs="仿宋"/>
          <w:sz w:val="32"/>
          <w:szCs w:val="32"/>
        </w:rPr>
      </w:pPr>
      <w:r>
        <w:rPr>
          <w:rStyle w:val="8"/>
          <w:rFonts w:hint="eastAsia" w:ascii="仿宋" w:hAnsi="仿宋" w:eastAsia="仿宋" w:cs="仿宋"/>
          <w:sz w:val="32"/>
          <w:szCs w:val="32"/>
        </w:rPr>
        <w:t>贵州素有“西南煤海”之美誉，是全国煤炭资源较丰富的省区之一，然而超过70%的土地是典型的喀斯特地貌，复杂的地形及其分布不均匀的地表、地下岩溶地貌与岩溶含水层造就了地下水系统复杂性，金沙新化片区离层水害严重，开采M9煤层时受采动影响裂隙带导通上覆含水层长兴灰岩的突水事故频繁。目前，厚灰岩含水层下离层水的防治技术基本缺失，煤矿生产中受离层水的影响严重，该水害涌水突发性强、涌水水头值大、没有预兆、来得突然，出现顶板压力增大，液压支架压死现象，导致工作面推进困难，给井下工人的安全带来了较大危险。</w:t>
      </w:r>
    </w:p>
    <w:p>
      <w:pPr>
        <w:keepNext w:val="0"/>
        <w:keepLines w:val="0"/>
        <w:pageBreakBefore w:val="0"/>
        <w:widowControl w:val="0"/>
        <w:kinsoku/>
        <w:wordWrap/>
        <w:overflowPunct/>
        <w:topLinePunct w:val="0"/>
        <w:autoSpaceDE/>
        <w:autoSpaceDN/>
        <w:bidi w:val="0"/>
        <w:adjustRightInd w:val="0"/>
        <w:snapToGrid w:val="0"/>
        <w:spacing w:line="560" w:lineRule="exact"/>
        <w:ind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（二）攻关内容</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Style w:val="8"/>
          <w:rFonts w:ascii="仿宋" w:hAnsi="仿宋" w:eastAsia="仿宋" w:cs="仿宋"/>
          <w:sz w:val="32"/>
          <w:szCs w:val="32"/>
        </w:rPr>
      </w:pPr>
      <w:r>
        <w:rPr>
          <w:rStyle w:val="8"/>
          <w:rFonts w:hint="eastAsia" w:ascii="仿宋" w:hAnsi="仿宋" w:eastAsia="仿宋" w:cs="仿宋"/>
          <w:sz w:val="32"/>
          <w:szCs w:val="32"/>
        </w:rPr>
        <w:t>该课题主要提出系统化的喀斯特地区煤层开采离层水害防控技术，采动作用下煤矿离层水探测及有效疏放技术是有效防治离层水害的重要措施。成果可推广应用于贵州喀斯特地区其他矿井，用于解决煤层开采离层水害防控技术难题。对于金沙新化片区内技术研究具有示范引领作用。主要完成以下攻关内容：</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Style w:val="8"/>
          <w:rFonts w:ascii="仿宋" w:hAnsi="仿宋" w:eastAsia="仿宋"/>
          <w:sz w:val="32"/>
          <w:szCs w:val="32"/>
        </w:rPr>
      </w:pPr>
      <w:r>
        <w:rPr>
          <w:rStyle w:val="8"/>
          <w:rFonts w:hint="eastAsia" w:ascii="仿宋" w:hAnsi="仿宋"/>
          <w:sz w:val="32"/>
          <w:szCs w:val="32"/>
        </w:rPr>
        <w:t>1.</w:t>
      </w:r>
      <w:r>
        <w:rPr>
          <w:rStyle w:val="8"/>
          <w:rFonts w:hint="eastAsia" w:ascii="仿宋" w:hAnsi="仿宋" w:eastAsia="仿宋"/>
          <w:sz w:val="32"/>
          <w:szCs w:val="32"/>
        </w:rPr>
        <w:t>喀斯特地区煤层开采离层水害评价技术。通过物理实验、数值模拟和现场测试，建立基于喀斯特地质条件的岩石微观-细观-宏观方面的物理力学特征，分析煤层开采后顶板岩层移动规律，掌握离层形成条件、发育大小、离层裂隙演化规律与离层水灾害的静水压和动水压涌突机理，精准判别离层出现的位置和产生离层的内在因素。编制《喀斯特地区煤层开采离层水害评价方法与指标体系》。</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Style w:val="8"/>
          <w:rFonts w:ascii="仿宋" w:hAnsi="仿宋" w:eastAsia="仿宋"/>
          <w:sz w:val="32"/>
          <w:szCs w:val="32"/>
        </w:rPr>
      </w:pPr>
      <w:r>
        <w:rPr>
          <w:rStyle w:val="8"/>
          <w:rFonts w:ascii="仿宋" w:hAnsi="仿宋" w:eastAsia="仿宋"/>
          <w:sz w:val="32"/>
          <w:szCs w:val="32"/>
        </w:rPr>
        <w:t>2</w:t>
      </w:r>
      <w:r>
        <w:rPr>
          <w:rStyle w:val="8"/>
          <w:rFonts w:hint="eastAsia" w:ascii="仿宋" w:hAnsi="仿宋"/>
          <w:sz w:val="32"/>
          <w:szCs w:val="32"/>
        </w:rPr>
        <w:t>.</w:t>
      </w:r>
      <w:r>
        <w:rPr>
          <w:rStyle w:val="8"/>
          <w:rFonts w:ascii="仿宋" w:hAnsi="仿宋" w:eastAsia="仿宋"/>
          <w:sz w:val="32"/>
          <w:szCs w:val="32"/>
        </w:rPr>
        <w:t>喀斯特地区煤层开采离层水害探测技术。针对贵州黔北喀斯特地区煤层开采后离层水害严重，提出针对性的水害探测方法，形成系统化的水害探测技术，掌握与评价水害危险程度及水害治理效果。</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 w:hAnsi="仿宋" w:eastAsia="仿宋"/>
          <w:kern w:val="2"/>
          <w:sz w:val="32"/>
          <w:szCs w:val="32"/>
        </w:rPr>
      </w:pPr>
      <w:r>
        <w:rPr>
          <w:rStyle w:val="8"/>
          <w:rFonts w:ascii="仿宋" w:hAnsi="仿宋" w:eastAsia="仿宋"/>
          <w:sz w:val="32"/>
          <w:szCs w:val="32"/>
        </w:rPr>
        <w:t>3</w:t>
      </w:r>
      <w:r>
        <w:rPr>
          <w:rStyle w:val="8"/>
          <w:rFonts w:hint="eastAsia" w:ascii="仿宋" w:hAnsi="仿宋"/>
          <w:sz w:val="32"/>
          <w:szCs w:val="32"/>
        </w:rPr>
        <w:t>.</w:t>
      </w:r>
      <w:r>
        <w:rPr>
          <w:rStyle w:val="8"/>
          <w:rFonts w:ascii="仿宋" w:hAnsi="仿宋" w:eastAsia="仿宋"/>
          <w:sz w:val="32"/>
          <w:szCs w:val="32"/>
        </w:rPr>
        <w:t>喀斯特地质条件下煤层开采上覆厚灰岩（长兴组）离层水害防控关键技术。从离层充水含水层预疏放、强径流带截流、井下钻孔超前探放、工作面回采过程中精准探放及优化开采工艺、开采序次、工作面推进速度等多方面进行复合型防控技术研究。编制《喀斯特地区煤层开采离层水害防控技术规范》。</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五、考核指标</w:t>
      </w:r>
    </w:p>
    <w:p>
      <w:pPr>
        <w:keepNext w:val="0"/>
        <w:keepLines w:val="0"/>
        <w:pageBreakBefore w:val="0"/>
        <w:widowControl w:val="0"/>
        <w:kinsoku/>
        <w:wordWrap/>
        <w:overflowPunct/>
        <w:topLinePunct w:val="0"/>
        <w:autoSpaceDE/>
        <w:autoSpaceDN/>
        <w:bidi w:val="0"/>
        <w:adjustRightInd w:val="0"/>
        <w:snapToGrid w:val="0"/>
        <w:spacing w:line="560" w:lineRule="exact"/>
        <w:ind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（一）研发目标</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Style w:val="8"/>
          <w:rFonts w:ascii="仿宋" w:hAnsi="仿宋" w:eastAsia="仿宋" w:cs="仿宋"/>
          <w:sz w:val="32"/>
          <w:szCs w:val="32"/>
        </w:rPr>
      </w:pPr>
      <w:r>
        <w:rPr>
          <w:rStyle w:val="8"/>
          <w:rFonts w:hint="eastAsia" w:ascii="仿宋" w:hAnsi="仿宋" w:eastAsia="仿宋" w:cs="仿宋"/>
          <w:sz w:val="32"/>
          <w:szCs w:val="32"/>
        </w:rPr>
        <w:t xml:space="preserve">围绕喀斯特地区金沙新化片区离层水的特点，解决离层水害瓶颈问题，对该区域的离层水害防控技术和采动作用下煤矿离层水的探测及有效的疏放技术提出相应防治措施，并在煤矿中进行应用示范，提升煤炭行业的安全生产，新增相关产值超过500万。 </w:t>
      </w:r>
    </w:p>
    <w:p>
      <w:pPr>
        <w:keepNext w:val="0"/>
        <w:keepLines w:val="0"/>
        <w:pageBreakBefore w:val="0"/>
        <w:widowControl w:val="0"/>
        <w:kinsoku/>
        <w:wordWrap/>
        <w:overflowPunct/>
        <w:topLinePunct w:val="0"/>
        <w:autoSpaceDE/>
        <w:autoSpaceDN/>
        <w:bidi w:val="0"/>
        <w:adjustRightInd w:val="0"/>
        <w:snapToGrid w:val="0"/>
        <w:spacing w:line="560" w:lineRule="exact"/>
        <w:ind w:left="638" w:leftChars="266"/>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（二）技术指标参数</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Style w:val="8"/>
          <w:rFonts w:ascii="仿宋" w:hAnsi="仿宋" w:eastAsia="仿宋" w:cs="仿宋"/>
          <w:sz w:val="32"/>
          <w:szCs w:val="32"/>
        </w:rPr>
      </w:pPr>
      <w:bookmarkStart w:id="0" w:name="_GoBack"/>
      <w:r>
        <w:rPr>
          <w:rStyle w:val="8"/>
          <w:rFonts w:hint="eastAsia" w:ascii="仿宋" w:hAnsi="仿宋"/>
          <w:sz w:val="32"/>
          <w:szCs w:val="32"/>
        </w:rPr>
        <w:t>1.</w:t>
      </w:r>
      <w:r>
        <w:rPr>
          <w:rStyle w:val="8"/>
          <w:rFonts w:hint="eastAsia" w:ascii="仿宋" w:hAnsi="仿宋" w:eastAsia="仿宋" w:cs="仿宋"/>
          <w:sz w:val="32"/>
          <w:szCs w:val="32"/>
        </w:rPr>
        <w:t>确定工作面总排水能力不能低于500m</w:t>
      </w:r>
      <w:r>
        <w:rPr>
          <w:rStyle w:val="8"/>
          <w:rFonts w:hint="eastAsia" w:ascii="仿宋" w:hAnsi="仿宋" w:eastAsia="仿宋" w:cs="仿宋"/>
          <w:sz w:val="32"/>
          <w:szCs w:val="32"/>
          <w:vertAlign w:val="superscript"/>
        </w:rPr>
        <w:t>3</w:t>
      </w:r>
      <w:r>
        <w:rPr>
          <w:rStyle w:val="8"/>
          <w:rFonts w:hint="eastAsia" w:ascii="仿宋" w:hAnsi="仿宋" w:eastAsia="仿宋" w:cs="仿宋"/>
          <w:sz w:val="32"/>
          <w:szCs w:val="32"/>
        </w:rPr>
        <w:t>/h，如果在采面运输顺槽下方存在底抽巷，可以充分利用底抽巷进行排水，在运输顺槽向底抽巷内打若干组泄水孔，泄水孔单孔直径不低于90mm，钻孔完成后下入直径89mm套管，以防塌孔；单孔泄水能力参照25-30m</w:t>
      </w:r>
      <w:r>
        <w:rPr>
          <w:rStyle w:val="8"/>
          <w:rFonts w:hint="eastAsia" w:ascii="仿宋" w:hAnsi="仿宋" w:eastAsia="仿宋" w:cs="仿宋"/>
          <w:sz w:val="32"/>
          <w:szCs w:val="32"/>
          <w:vertAlign w:val="superscript"/>
        </w:rPr>
        <w:t>3</w:t>
      </w:r>
      <w:r>
        <w:rPr>
          <w:rStyle w:val="8"/>
          <w:rFonts w:hint="eastAsia" w:ascii="仿宋" w:hAnsi="仿宋" w:eastAsia="仿宋" w:cs="仿宋"/>
          <w:sz w:val="32"/>
          <w:szCs w:val="32"/>
        </w:rPr>
        <w:t>/h考虑每组泄水孔数量的技术。</w:t>
      </w:r>
    </w:p>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firstLine="640" w:firstLineChars="200"/>
        <w:jc w:val="both"/>
        <w:textAlignment w:val="auto"/>
        <w:rPr>
          <w:rStyle w:val="8"/>
          <w:rFonts w:hint="eastAsia" w:ascii="仿宋" w:hAnsi="仿宋" w:eastAsia="仿宋" w:cs="仿宋"/>
          <w:color w:val="000000"/>
          <w:sz w:val="32"/>
          <w:szCs w:val="32"/>
        </w:rPr>
      </w:pPr>
      <w:r>
        <w:rPr>
          <w:rStyle w:val="8"/>
          <w:rFonts w:hint="eastAsia" w:ascii="仿宋" w:hAnsi="仿宋" w:eastAsia="仿宋"/>
          <w:sz w:val="32"/>
          <w:szCs w:val="32"/>
        </w:rPr>
        <w:t>2</w:t>
      </w:r>
      <w:r>
        <w:rPr>
          <w:rStyle w:val="8"/>
          <w:rFonts w:hint="eastAsia" w:ascii="仿宋" w:hAnsi="仿宋"/>
          <w:sz w:val="32"/>
          <w:szCs w:val="32"/>
        </w:rPr>
        <w:t>.</w:t>
      </w:r>
      <w:r>
        <w:rPr>
          <w:rStyle w:val="8"/>
          <w:rFonts w:hint="eastAsia" w:ascii="仿宋" w:hAnsi="仿宋" w:eastAsia="仿宋" w:cs="仿宋"/>
          <w:sz w:val="32"/>
          <w:szCs w:val="32"/>
        </w:rPr>
        <w:t>离层</w:t>
      </w:r>
      <w:r>
        <w:rPr>
          <w:rStyle w:val="8"/>
          <w:rFonts w:hint="eastAsia" w:ascii="仿宋" w:hAnsi="仿宋" w:eastAsia="仿宋" w:cs="仿宋"/>
          <w:color w:val="000000"/>
          <w:sz w:val="32"/>
          <w:szCs w:val="32"/>
        </w:rPr>
        <w:t>水疏放孔设计有效方案：离层水疏放孔布置在工作面运输巷和回风巷，疏放孔开孔位置位于工作面运输巷和回风巷巷道中间顶板，疏放孔间隔距离为15m。钻孔终孔于长兴组灰岩底界以上3m位置，终孔位置在工作面倾向方向上控制在采煤工作面上下1/3位置。</w:t>
      </w:r>
    </w:p>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firstLine="640" w:firstLineChars="200"/>
        <w:jc w:val="left"/>
        <w:textAlignment w:val="auto"/>
        <w:rPr>
          <w:rStyle w:val="8"/>
          <w:rFonts w:ascii="仿宋" w:hAnsi="仿宋" w:eastAsia="仿宋" w:cs="仿宋"/>
          <w:sz w:val="32"/>
          <w:szCs w:val="32"/>
        </w:rPr>
      </w:pPr>
      <w:r>
        <w:rPr>
          <w:rStyle w:val="8"/>
          <w:rFonts w:hint="eastAsia" w:ascii="仿宋" w:hAnsi="仿宋" w:eastAsia="仿宋" w:cs="仿宋"/>
          <w:sz w:val="32"/>
          <w:szCs w:val="32"/>
        </w:rPr>
        <w:t>3</w:t>
      </w:r>
      <w:r>
        <w:rPr>
          <w:rStyle w:val="8"/>
          <w:rFonts w:hint="eastAsia" w:ascii="仿宋" w:hAnsi="仿宋"/>
          <w:sz w:val="32"/>
          <w:szCs w:val="32"/>
        </w:rPr>
        <w:t>.</w:t>
      </w:r>
      <w:r>
        <w:rPr>
          <w:rStyle w:val="8"/>
          <w:rFonts w:hint="eastAsia" w:ascii="仿宋" w:hAnsi="仿宋" w:eastAsia="仿宋" w:cs="仿宋"/>
          <w:sz w:val="32"/>
          <w:szCs w:val="32"/>
        </w:rPr>
        <w:t>开发出适合该片区的离层防治水技术，降低水害事故，有效解决煤矿安全生产问题，实现离层水的疏放量增加30%以上。</w:t>
      </w:r>
    </w:p>
    <w:p>
      <w:pPr>
        <w:pStyle w:val="2"/>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1680" w:firstLine="642" w:firstLineChars="200"/>
        <w:jc w:val="left"/>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（三）技术攻关时限要求</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Style w:val="8"/>
          <w:rFonts w:ascii="仿宋" w:hAnsi="仿宋" w:eastAsia="仿宋" w:cs="仿宋"/>
          <w:sz w:val="32"/>
          <w:szCs w:val="32"/>
        </w:rPr>
      </w:pPr>
      <w:r>
        <w:rPr>
          <w:rStyle w:val="8"/>
          <w:rFonts w:hint="eastAsia" w:ascii="仿宋" w:hAnsi="仿宋" w:eastAsia="仿宋" w:cs="仿宋"/>
          <w:sz w:val="32"/>
          <w:szCs w:val="32"/>
        </w:rPr>
        <w:t>在揭榜协议及任务书签订后2年内完成。</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黑体" w:cs="Times New Roman"/>
          <w:kern w:val="2"/>
          <w:sz w:val="32"/>
          <w:szCs w:val="32"/>
        </w:rPr>
      </w:pPr>
      <w:r>
        <w:rPr>
          <w:rFonts w:ascii="Times New Roman" w:hAnsi="Times New Roman" w:eastAsia="黑体" w:cs="Times New Roman"/>
          <w:kern w:val="2"/>
          <w:sz w:val="32"/>
          <w:szCs w:val="32"/>
        </w:rPr>
        <w:t>六、对揭榜方要求</w:t>
      </w:r>
    </w:p>
    <w:p>
      <w:pPr>
        <w:keepNext w:val="0"/>
        <w:keepLines w:val="0"/>
        <w:pageBreakBefore w:val="0"/>
        <w:widowControl w:val="0"/>
        <w:kinsoku/>
        <w:wordWrap/>
        <w:overflowPunct/>
        <w:topLinePunct w:val="0"/>
        <w:autoSpaceDE/>
        <w:autoSpaceDN/>
        <w:bidi w:val="0"/>
        <w:adjustRightInd w:val="0"/>
        <w:snapToGrid w:val="0"/>
        <w:spacing w:line="560" w:lineRule="exact"/>
        <w:ind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（一）揭榜方应具有以下资质和能力</w:t>
      </w:r>
    </w:p>
    <w:p>
      <w:pPr>
        <w:pStyle w:val="9"/>
        <w:keepNext w:val="0"/>
        <w:keepLines w:val="0"/>
        <w:pageBreakBefore w:val="0"/>
        <w:widowControl w:val="0"/>
        <w:kinsoku/>
        <w:wordWrap/>
        <w:overflowPunct/>
        <w:topLinePunct w:val="0"/>
        <w:autoSpaceDE/>
        <w:autoSpaceDN/>
        <w:bidi w:val="0"/>
        <w:adjustRightInd w:val="0"/>
        <w:snapToGrid w:val="0"/>
        <w:spacing w:line="560" w:lineRule="exact"/>
        <w:ind w:right="218" w:rightChars="91" w:firstLine="640" w:firstLineChars="200"/>
        <w:textAlignment w:val="auto"/>
      </w:pPr>
      <w:r>
        <w:rPr>
          <w:rFonts w:hint="eastAsia" w:ascii="仿宋" w:hAnsi="仿宋" w:eastAsia="仿宋" w:cs="仿宋"/>
          <w:color w:val="000000" w:themeColor="text1"/>
          <w:sz w:val="32"/>
          <w:szCs w:val="32"/>
          <w14:textFill>
            <w14:solidFill>
              <w14:schemeClr w14:val="tx1"/>
            </w14:solidFill>
          </w14:textFill>
        </w:rPr>
        <w:t>揭榜方需具备技术榜单相关的研究基础。</w:t>
      </w:r>
    </w:p>
    <w:p>
      <w:pPr>
        <w:keepNext w:val="0"/>
        <w:keepLines w:val="0"/>
        <w:pageBreakBefore w:val="0"/>
        <w:widowControl w:val="0"/>
        <w:kinsoku/>
        <w:wordWrap/>
        <w:overflowPunct/>
        <w:topLinePunct w:val="0"/>
        <w:autoSpaceDE/>
        <w:autoSpaceDN/>
        <w:bidi w:val="0"/>
        <w:adjustRightInd w:val="0"/>
        <w:snapToGrid w:val="0"/>
        <w:spacing w:line="560" w:lineRule="exact"/>
        <w:ind w:firstLine="642" w:firstLineChars="200"/>
        <w:textAlignment w:val="auto"/>
        <w:rPr>
          <w:rFonts w:ascii="Times New Roman" w:hAnsi="Times New Roman" w:eastAsia="楷体_GB2312" w:cs="Times New Roman"/>
          <w:b/>
          <w:bCs/>
          <w:kern w:val="2"/>
          <w:sz w:val="32"/>
          <w:szCs w:val="32"/>
        </w:rPr>
      </w:pPr>
      <w:r>
        <w:rPr>
          <w:rFonts w:ascii="Times New Roman" w:hAnsi="Times New Roman" w:eastAsia="楷体_GB2312" w:cs="Times New Roman"/>
          <w:b/>
          <w:bCs/>
          <w:kern w:val="2"/>
          <w:sz w:val="32"/>
          <w:szCs w:val="32"/>
        </w:rPr>
        <w:t>（二）产权归属</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pPr>
      <w:r>
        <w:rPr>
          <w:rStyle w:val="8"/>
          <w:rFonts w:hint="eastAsia" w:ascii="仿宋" w:hAnsi="仿宋" w:eastAsia="仿宋"/>
          <w:sz w:val="32"/>
          <w:szCs w:val="32"/>
        </w:rPr>
        <w:t>本项目履行过程中所产生的专利、技术标准等知识产权归属于双方共有，优先在贵州省进行成果转化。</w:t>
      </w:r>
    </w:p>
    <w:bookmarkEnd w:id="0"/>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Verdana">
    <w:altName w:val="DejaVu Sans"/>
    <w:panose1 w:val="020B0604030504040204"/>
    <w:charset w:val="00"/>
    <w:family w:val="swiss"/>
    <w:pitch w:val="default"/>
    <w:sig w:usb0="00000000" w:usb1="00000000" w:usb2="00000010"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楷体_GB2312">
    <w:altName w:val="方正楷体_GBK"/>
    <w:panose1 w:val="00000000000000000000"/>
    <w:charset w:val="86"/>
    <w:family w:val="modern"/>
    <w:pitch w:val="default"/>
    <w:sig w:usb0="00000000" w:usb1="00000000" w:usb2="0000001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left"/>
      <w:rPr>
        <w:rFonts w:ascii="Times New Roman" w:hAnsi="Times New Roman" w:cs="Times New Roman"/>
        <w:kern w:val="2"/>
        <w:sz w:val="18"/>
      </w:rPr>
    </w:pPr>
    <w:r>
      <w:rPr>
        <w:rFonts w:ascii="Times New Roman" w:hAnsi="Times New Roman" w:cs="Times New Roman"/>
        <w:kern w:val="2"/>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34035" cy="230505"/>
              <wp:effectExtent l="0" t="0" r="0" b="1905"/>
              <wp:wrapNone/>
              <wp:docPr id="1" name="文本框 1"/>
              <wp:cNvGraphicFramePr/>
              <a:graphic xmlns:a="http://schemas.openxmlformats.org/drawingml/2006/main">
                <a:graphicData uri="http://schemas.microsoft.com/office/word/2010/wordprocessingShape">
                  <wps:wsp>
                    <wps:cNvSpPr txBox="true">
                      <a:spLocks noChangeArrowheads="true"/>
                    </wps:cNvSpPr>
                    <wps:spPr bwMode="auto">
                      <a:xfrm>
                        <a:off x="0" y="0"/>
                        <a:ext cx="534035" cy="230505"/>
                      </a:xfrm>
                      <a:prstGeom prst="rect">
                        <a:avLst/>
                      </a:prstGeom>
                      <a:noFill/>
                      <a:ln>
                        <a:noFill/>
                      </a:ln>
                      <a:effectLst/>
                    </wps:spPr>
                    <wps:txbx>
                      <w:txbxContent>
                        <w:p>
                          <w:pPr>
                            <w:snapToGrid w:val="0"/>
                            <w:rPr>
                              <w:rFonts w:hint="eastAsia" w:ascii="仿宋" w:hAnsi="仿宋" w:eastAsia="仿宋" w:cs="仿宋"/>
                              <w:kern w:val="2"/>
                              <w:sz w:val="24"/>
                              <w:szCs w:val="24"/>
                            </w:rPr>
                          </w:pPr>
                          <w:r>
                            <w:rPr>
                              <w:rFonts w:hint="eastAsia" w:ascii="仿宋" w:hAnsi="仿宋" w:eastAsia="仿宋" w:cs="仿宋"/>
                              <w:kern w:val="2"/>
                              <w:sz w:val="24"/>
                              <w:szCs w:val="24"/>
                            </w:rPr>
                            <w:t xml:space="preserve">— </w:t>
                          </w:r>
                          <w:r>
                            <w:rPr>
                              <w:rFonts w:hint="eastAsia" w:ascii="仿宋" w:hAnsi="仿宋" w:eastAsia="仿宋" w:cs="仿宋"/>
                              <w:kern w:val="2"/>
                              <w:sz w:val="24"/>
                              <w:szCs w:val="24"/>
                            </w:rPr>
                            <w:fldChar w:fldCharType="begin"/>
                          </w:r>
                          <w:r>
                            <w:rPr>
                              <w:rFonts w:hint="eastAsia" w:ascii="仿宋" w:hAnsi="仿宋" w:eastAsia="仿宋" w:cs="仿宋"/>
                              <w:kern w:val="2"/>
                              <w:sz w:val="24"/>
                              <w:szCs w:val="24"/>
                            </w:rPr>
                            <w:instrText xml:space="preserve"> PAGE  \* MERGEFORMAT </w:instrText>
                          </w:r>
                          <w:r>
                            <w:rPr>
                              <w:rFonts w:hint="eastAsia" w:ascii="仿宋" w:hAnsi="仿宋" w:eastAsia="仿宋" w:cs="仿宋"/>
                              <w:kern w:val="2"/>
                              <w:sz w:val="24"/>
                              <w:szCs w:val="24"/>
                            </w:rPr>
                            <w:fldChar w:fldCharType="separate"/>
                          </w:r>
                          <w:r>
                            <w:rPr>
                              <w:rFonts w:hint="eastAsia" w:ascii="仿宋" w:hAnsi="仿宋" w:eastAsia="仿宋" w:cs="仿宋"/>
                              <w:kern w:val="2"/>
                              <w:sz w:val="24"/>
                              <w:szCs w:val="24"/>
                            </w:rPr>
                            <w:t>1</w:t>
                          </w:r>
                          <w:r>
                            <w:rPr>
                              <w:rFonts w:hint="eastAsia" w:ascii="仿宋" w:hAnsi="仿宋" w:eastAsia="仿宋" w:cs="仿宋"/>
                              <w:kern w:val="2"/>
                              <w:sz w:val="24"/>
                              <w:szCs w:val="24"/>
                            </w:rPr>
                            <w:fldChar w:fldCharType="end"/>
                          </w:r>
                          <w:r>
                            <w:rPr>
                              <w:rFonts w:hint="eastAsia" w:ascii="仿宋" w:hAnsi="仿宋" w:eastAsia="仿宋" w:cs="仿宋"/>
                              <w:kern w:val="2"/>
                              <w:sz w:val="24"/>
                              <w:szCs w:val="24"/>
                            </w:rPr>
                            <w:t xml:space="preserve"> —</w:t>
                          </w:r>
                        </w:p>
                      </w:txbxContent>
                    </wps:txbx>
                    <wps:bodyPr rot="0" vert="horz" wrap="none" lIns="0" tIns="0" rIns="0" bIns="0" anchor="t" anchorCtr="false" upright="true">
                      <a:spAutoFit/>
                    </wps:bodyPr>
                  </wps:wsp>
                </a:graphicData>
              </a:graphic>
            </wp:anchor>
          </w:drawing>
        </mc:Choice>
        <mc:Fallback>
          <w:pict>
            <v:shape id="_x0000_s1026" o:spid="_x0000_s1026" o:spt="202" type="#_x0000_t202" style="position:absolute;left:0pt;margin-top:0pt;height:18.15pt;width:42.05pt;mso-position-horizontal:outside;mso-position-horizontal-relative:margin;mso-wrap-style:none;z-index:251659264;mso-width-relative:page;mso-height-relative:page;" filled="f" stroked="f" coordsize="21600,21600" o:gfxdata="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Dw9kx90QAAAAMBAAAPAAAAAAAAAAEAIAAAADgA&#10;AABkcnMvZG93bnJldi54bWxQSwECFAAUAAAACACHTuJAoCT6G/oBAADPAwAADgAAAAAAAAABACAA&#10;AAA2AQAAZHJzL2Uyb0RvYy54bWxQSwUGAAAAAAYABgBZAQAAogUAAAAA&#10;">
              <v:fill on="f" focussize="0,0"/>
              <v:stroke on="f"/>
              <v:imagedata o:title=""/>
              <o:lock v:ext="edit" aspectratio="f"/>
              <v:textbox inset="0mm,0mm,0mm,0mm" style="mso-fit-shape-to-text:t;">
                <w:txbxContent>
                  <w:p>
                    <w:pPr>
                      <w:snapToGrid w:val="0"/>
                      <w:rPr>
                        <w:rFonts w:hint="eastAsia" w:ascii="仿宋" w:hAnsi="仿宋" w:eastAsia="仿宋" w:cs="仿宋"/>
                        <w:kern w:val="2"/>
                        <w:sz w:val="24"/>
                        <w:szCs w:val="24"/>
                      </w:rPr>
                    </w:pPr>
                    <w:r>
                      <w:rPr>
                        <w:rFonts w:hint="eastAsia" w:ascii="仿宋" w:hAnsi="仿宋" w:eastAsia="仿宋" w:cs="仿宋"/>
                        <w:kern w:val="2"/>
                        <w:sz w:val="24"/>
                        <w:szCs w:val="24"/>
                      </w:rPr>
                      <w:t xml:space="preserve">— </w:t>
                    </w:r>
                    <w:r>
                      <w:rPr>
                        <w:rFonts w:hint="eastAsia" w:ascii="仿宋" w:hAnsi="仿宋" w:eastAsia="仿宋" w:cs="仿宋"/>
                        <w:kern w:val="2"/>
                        <w:sz w:val="24"/>
                        <w:szCs w:val="24"/>
                      </w:rPr>
                      <w:fldChar w:fldCharType="begin"/>
                    </w:r>
                    <w:r>
                      <w:rPr>
                        <w:rFonts w:hint="eastAsia" w:ascii="仿宋" w:hAnsi="仿宋" w:eastAsia="仿宋" w:cs="仿宋"/>
                        <w:kern w:val="2"/>
                        <w:sz w:val="24"/>
                        <w:szCs w:val="24"/>
                      </w:rPr>
                      <w:instrText xml:space="preserve"> PAGE  \* MERGEFORMAT </w:instrText>
                    </w:r>
                    <w:r>
                      <w:rPr>
                        <w:rFonts w:hint="eastAsia" w:ascii="仿宋" w:hAnsi="仿宋" w:eastAsia="仿宋" w:cs="仿宋"/>
                        <w:kern w:val="2"/>
                        <w:sz w:val="24"/>
                        <w:szCs w:val="24"/>
                      </w:rPr>
                      <w:fldChar w:fldCharType="separate"/>
                    </w:r>
                    <w:r>
                      <w:rPr>
                        <w:rFonts w:hint="eastAsia" w:ascii="仿宋" w:hAnsi="仿宋" w:eastAsia="仿宋" w:cs="仿宋"/>
                        <w:kern w:val="2"/>
                        <w:sz w:val="24"/>
                        <w:szCs w:val="24"/>
                      </w:rPr>
                      <w:t>1</w:t>
                    </w:r>
                    <w:r>
                      <w:rPr>
                        <w:rFonts w:hint="eastAsia" w:ascii="仿宋" w:hAnsi="仿宋" w:eastAsia="仿宋" w:cs="仿宋"/>
                        <w:kern w:val="2"/>
                        <w:sz w:val="24"/>
                        <w:szCs w:val="24"/>
                      </w:rPr>
                      <w:fldChar w:fldCharType="end"/>
                    </w:r>
                    <w:r>
                      <w:rPr>
                        <w:rFonts w:hint="eastAsia" w:ascii="仿宋" w:hAnsi="仿宋" w:eastAsia="仿宋" w:cs="仿宋"/>
                        <w:kern w:val="2"/>
                        <w:sz w:val="24"/>
                        <w:szCs w:val="24"/>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1"/>
        <w:left w:val="none" w:color="auto" w:sz="0" w:space="4"/>
        <w:bottom w:val="none" w:color="auto" w:sz="0" w:space="1"/>
        <w:right w:val="none" w:color="auto" w:sz="0" w:space="4"/>
      </w:pBdr>
      <w:snapToGrid w:val="0"/>
      <w:rPr>
        <w:rFonts w:ascii="Times New Roman" w:hAnsi="Times New Roman" w:cs="Times New Roman"/>
        <w:kern w:val="2"/>
        <w:sz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hMGEwYTJhYjYxMzJiZTQ0ZTVmOGQyOWQ3Yzc4NWEifQ=="/>
  </w:docVars>
  <w:rsids>
    <w:rsidRoot w:val="009C75EC"/>
    <w:rsid w:val="000B257F"/>
    <w:rsid w:val="001B07A4"/>
    <w:rsid w:val="00397AEB"/>
    <w:rsid w:val="00444658"/>
    <w:rsid w:val="004A2668"/>
    <w:rsid w:val="004E39B9"/>
    <w:rsid w:val="006048D6"/>
    <w:rsid w:val="006974F0"/>
    <w:rsid w:val="007B0474"/>
    <w:rsid w:val="0088635B"/>
    <w:rsid w:val="008E6679"/>
    <w:rsid w:val="00980155"/>
    <w:rsid w:val="009C75EC"/>
    <w:rsid w:val="00A84C69"/>
    <w:rsid w:val="00AE2241"/>
    <w:rsid w:val="00B76C0B"/>
    <w:rsid w:val="00BF7B0E"/>
    <w:rsid w:val="00C24787"/>
    <w:rsid w:val="00C608FA"/>
    <w:rsid w:val="00CB521A"/>
    <w:rsid w:val="00CE76A1"/>
    <w:rsid w:val="00D32954"/>
    <w:rsid w:val="00DF341A"/>
    <w:rsid w:val="00E21AB4"/>
    <w:rsid w:val="00EB100B"/>
    <w:rsid w:val="15DB35DD"/>
    <w:rsid w:val="175E0D26"/>
    <w:rsid w:val="1790019C"/>
    <w:rsid w:val="1C231A28"/>
    <w:rsid w:val="21147CAB"/>
    <w:rsid w:val="230E75B5"/>
    <w:rsid w:val="28AA3472"/>
    <w:rsid w:val="29F60A01"/>
    <w:rsid w:val="2DC046A1"/>
    <w:rsid w:val="30DA5678"/>
    <w:rsid w:val="35EC5749"/>
    <w:rsid w:val="3C0E14B7"/>
    <w:rsid w:val="407E7B8C"/>
    <w:rsid w:val="479E3B1A"/>
    <w:rsid w:val="4F253997"/>
    <w:rsid w:val="55AC37E9"/>
    <w:rsid w:val="590C4A99"/>
    <w:rsid w:val="6AF3C367"/>
    <w:rsid w:val="7F6E7772"/>
    <w:rsid w:val="AB6CCD83"/>
    <w:rsid w:val="AEFF7E00"/>
    <w:rsid w:val="EFDFBC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iPriority="99"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宋体"/>
      <w:color w:val="000000"/>
      <w:sz w:val="24"/>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lock Text"/>
    <w:basedOn w:val="1"/>
    <w:unhideWhenUsed/>
    <w:qFormat/>
    <w:uiPriority w:val="99"/>
    <w:pPr>
      <w:spacing w:after="120"/>
      <w:ind w:left="1440" w:leftChars="700" w:right="1440" w:rightChars="700"/>
    </w:p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tabs>
        <w:tab w:val="center" w:pos="4153"/>
        <w:tab w:val="right" w:pos="8306"/>
      </w:tabs>
      <w:snapToGrid w:val="0"/>
      <w:jc w:val="center"/>
    </w:pPr>
    <w:rPr>
      <w:sz w:val="18"/>
      <w:szCs w:val="18"/>
    </w:rPr>
  </w:style>
  <w:style w:type="paragraph" w:customStyle="1" w:styleId="7">
    <w:name w:val="Char Char Char Char Char Char Char"/>
    <w:basedOn w:val="1"/>
    <w:qFormat/>
    <w:uiPriority w:val="0"/>
    <w:pPr>
      <w:widowControl/>
      <w:spacing w:after="160" w:line="240" w:lineRule="exact"/>
      <w:jc w:val="left"/>
    </w:pPr>
    <w:rPr>
      <w:rFonts w:ascii="Arial" w:hAnsi="Arial" w:eastAsia="Times New Roman" w:cs="Verdana"/>
      <w:b/>
      <w:color w:val="auto"/>
      <w:lang w:eastAsia="en-US"/>
    </w:rPr>
  </w:style>
  <w:style w:type="character" w:customStyle="1" w:styleId="8">
    <w:name w:val="NormalCharacter"/>
    <w:semiHidden/>
    <w:qFormat/>
    <w:uiPriority w:val="0"/>
    <w:rPr>
      <w:rFonts w:ascii="Calibri" w:hAnsi="Calibri"/>
      <w:kern w:val="2"/>
      <w:sz w:val="21"/>
      <w:szCs w:val="24"/>
      <w:lang w:val="en-US" w:eastAsia="zh-CN" w:bidi="ar-SA"/>
    </w:rPr>
  </w:style>
  <w:style w:type="paragraph" w:styleId="9">
    <w:name w:val="List Paragraph"/>
    <w:basedOn w:val="1"/>
    <w:unhideWhenUsed/>
    <w:qFormat/>
    <w:uiPriority w:val="99"/>
    <w:pPr>
      <w:ind w:firstLine="420" w:firstLineChars="200"/>
    </w:pPr>
  </w:style>
  <w:style w:type="paragraph" w:customStyle="1" w:styleId="10">
    <w:name w:val="列出段落"/>
    <w:basedOn w:val="1"/>
    <w:unhideWhenUsed/>
    <w:qFormat/>
    <w:uiPriority w:val="99"/>
    <w:pPr>
      <w:ind w:firstLine="420" w:firstLineChars="200"/>
    </w:pPr>
  </w:style>
  <w:style w:type="character" w:customStyle="1" w:styleId="11">
    <w:name w:val="页眉 字符"/>
    <w:basedOn w:val="6"/>
    <w:link w:val="4"/>
    <w:qFormat/>
    <w:uiPriority w:val="99"/>
    <w:rPr>
      <w:rFonts w:ascii="宋体" w:hAnsi="宋体" w:cs="宋体"/>
      <w:color w:val="000000"/>
      <w:sz w:val="18"/>
      <w:szCs w:val="18"/>
    </w:rPr>
  </w:style>
  <w:style w:type="character" w:customStyle="1" w:styleId="12">
    <w:name w:val="页脚 字符"/>
    <w:basedOn w:val="6"/>
    <w:link w:val="3"/>
    <w:qFormat/>
    <w:uiPriority w:val="99"/>
    <w:rPr>
      <w:rFonts w:ascii="宋体" w:hAnsi="宋体" w:cs="宋体"/>
      <w:color w:val="00000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277</Words>
  <Characters>1579</Characters>
  <Lines>13</Lines>
  <Paragraphs>3</Paragraphs>
  <TotalTime>1</TotalTime>
  <ScaleCrop>false</ScaleCrop>
  <LinksUpToDate>false</LinksUpToDate>
  <CharactersWithSpaces>1853</CharactersWithSpaces>
  <Application>WPS Office_11.8.2.1111_F1E327BC-269C-435d-A152-05C5408002CA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2024-03-20T13:34:00Z</dcterms:created>
  <dc:creator>马春丽</dc:creator>
  <cp:lastModifiedBy>ysgz</cp:lastModifiedBy>
  <dcterms:modified xsi:type="dcterms:W3CDTF">2024-04-19T11:36:11Z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2052-11.8.2.1111</vt:lpwstr>
  </property>
  <property fmtid="{D5CDD505-2E9C-101B-9397-08002B2CF9AE}" pid="3" name="ICV">
    <vt:lpwstr>7E540A43D54947F189AB15A911791B3D_13</vt:lpwstr>
  </property>
</Properties>
</file>