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lang w:val="en-US" w:eastAsia="zh-CN"/>
        </w:rPr>
      </w:pPr>
      <w:bookmarkStart w:id="0" w:name="_GoBack"/>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14</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Style w:val="8"/>
          <w:rFonts w:hint="eastAsia" w:ascii="仿宋" w:hAnsi="仿宋" w:eastAsia="仿宋" w:cs="仿宋"/>
          <w:sz w:val="32"/>
          <w:szCs w:val="32"/>
        </w:rPr>
        <w:t>航空发动机外廓复杂结构装配智能检测关键技术研究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kern w:val="2"/>
          <w:sz w:val="32"/>
          <w:szCs w:val="32"/>
        </w:rPr>
      </w:pPr>
      <w:r>
        <w:rPr>
          <w:rFonts w:hint="eastAsia" w:ascii="仿宋" w:hAnsi="仿宋" w:eastAsia="仿宋" w:cs="仿宋"/>
          <w:sz w:val="32"/>
          <w:szCs w:val="32"/>
        </w:rPr>
        <w:t>中国航发贵州黎阳航空动力有限公司</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中国航发贵州黎阳航空动力有限公司创建于</w:t>
      </w:r>
      <w:r>
        <w:rPr>
          <w:rFonts w:ascii="仿宋" w:hAnsi="仿宋" w:eastAsia="仿宋" w:cs="仿宋"/>
          <w:color w:val="auto"/>
          <w:sz w:val="32"/>
          <w:szCs w:val="32"/>
          <w:shd w:val="clear" w:color="auto" w:fill="FFFFFF"/>
        </w:rPr>
        <w:t>1965年，隶属于中国航空发动机集团，国家大Ⅰ型企业，是我国中小推力航空发动机研发生产修理服务基地和先进航空发动机关键零部件重要供应商</w:t>
      </w: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公司坚持航空为本、军工为主，致力打造我国“中小推力航空发动机研制、生产、维修、服务基地”，形成以航空发动机批产、整机研制、零部件制造、发动机修理为核心的产品结构，是国内唯一中小推力航空发动机研制、生产、维修航空发动机企业，先后承担了国内多个型号发动机的研制任务。公司始终坚持落实创新驱动发展战略</w:t>
      </w:r>
      <w:r>
        <w:rPr>
          <w:rFonts w:hint="eastAsia" w:ascii="仿宋" w:hAnsi="仿宋" w:eastAsia="仿宋" w:cs="仿宋"/>
          <w:color w:val="auto"/>
          <w:sz w:val="32"/>
          <w:szCs w:val="32"/>
          <w:shd w:val="clear" w:color="auto" w:fill="FFFFFF"/>
        </w:rPr>
        <w:t>，突出核心技术与能力建设，瞄准先进动力对先进制造技术的需要，走专业化和数字化建设之路。承担国家多个重点型号航空发动机的研制任务。</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kern w:val="2"/>
          <w:sz w:val="32"/>
          <w:szCs w:val="32"/>
        </w:rPr>
      </w:pPr>
      <w:r>
        <w:rPr>
          <w:rFonts w:hint="eastAsia" w:ascii="仿宋" w:hAnsi="仿宋" w:eastAsia="仿宋" w:cs="仿宋"/>
          <w:kern w:val="2"/>
          <w:sz w:val="32"/>
          <w:szCs w:val="32"/>
        </w:rPr>
        <w:t>发动机被视为航空装备的“心脏”，管路系统则是航空发动机的“血管”，锁片、卡箍、保险等附件是发动机的“安全带”，发动机整个外廓结构布置错综复杂，装配检测过程几乎全部由人工完成，各个组件存在一定制造和装配误差。装配一致性差的问题，不仅影响航空装备飞行性能，还可能造成潜在安全隐患。因此，对发动机管路系统装配的精确检测成为装配质量保障的关键环节。目前，国外大型复杂构件三维轮廓供应商（德国</w:t>
      </w:r>
      <w:r>
        <w:rPr>
          <w:rFonts w:ascii="仿宋" w:hAnsi="仿宋" w:eastAsia="仿宋" w:cs="仿宋"/>
          <w:kern w:val="2"/>
          <w:sz w:val="32"/>
          <w:szCs w:val="32"/>
        </w:rPr>
        <w:t>ZEISS、瑞典Hexagon等）对我国国防企业限制性销售，核心技术严格保密，且不提供我国航空发动机设计检测所需的全部功能，已成</w:t>
      </w:r>
      <w:r>
        <w:rPr>
          <w:rFonts w:hint="eastAsia" w:ascii="仿宋" w:hAnsi="仿宋" w:eastAsia="仿宋" w:cs="仿宋"/>
          <w:kern w:val="2"/>
          <w:sz w:val="32"/>
          <w:szCs w:val="32"/>
        </w:rPr>
        <w:t>为我国航空发动机研制与生产“卡脖子”难题。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在航空发动机管路系统装配质量检测过程中，主要难题为管路系统装配在机匣外廓，分布在空间曲面上，装配参考基准少，数字化程度低，造成与设计标准装配一致性差，即存在较多装配不确定性。由于管路系统装配结构的复杂性，造成零件特征之间遮挡严重，数据采集难度大，测量视野内零件表面特征数据缺失严重。因此，在管路系统装配质量检测过程中需要解决的关键核心技术问题包括：严重缺失数据稀疏散乱数据中特征的增强技术，复杂环境中数据缺失严重情况下鲁棒性管道、卡箍保险等特征识别技术以及基于设计模型的装配质量快速比对分析技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围绕航空发动机外廓复杂结构装配智能检测关键技术研究，采用基于多维数据的数字化测量手段，通过数字化分析手段对发动机外廓装配质量进行定性和定量检测分析。服务于中国航发贵州黎阳航空发动机生产装配检测过程，为航空发动机装配质量的提升提供技术保障，研发航空发动机外廓复杂结构装配智能检测系统样机1台，实现从人工目检到数字化测量技术突破，促使航空发动机外廓检测</w:t>
      </w:r>
      <w:r>
        <w:rPr>
          <w:rStyle w:val="8"/>
          <w:rFonts w:ascii="仿宋" w:hAnsi="仿宋" w:eastAsia="仿宋" w:cs="仿宋"/>
          <w:sz w:val="32"/>
          <w:szCs w:val="32"/>
        </w:rPr>
        <w:t>精度提高</w:t>
      </w:r>
      <w:r>
        <w:rPr>
          <w:rStyle w:val="8"/>
          <w:rFonts w:hint="eastAsia" w:ascii="仿宋" w:hAnsi="仿宋" w:eastAsia="仿宋" w:cs="仿宋"/>
          <w:sz w:val="32"/>
          <w:szCs w:val="32"/>
        </w:rPr>
        <w:t>1</w:t>
      </w:r>
      <w:r>
        <w:rPr>
          <w:rStyle w:val="8"/>
          <w:rFonts w:ascii="仿宋" w:hAnsi="仿宋" w:eastAsia="仿宋" w:cs="仿宋"/>
          <w:sz w:val="32"/>
          <w:szCs w:val="32"/>
        </w:rPr>
        <w:t>0倍以上，最终实现航空发动机整机外廓检测</w:t>
      </w:r>
      <w:r>
        <w:rPr>
          <w:rStyle w:val="8"/>
          <w:rFonts w:hint="eastAsia" w:ascii="仿宋" w:hAnsi="仿宋" w:eastAsia="仿宋" w:cs="仿宋"/>
          <w:sz w:val="32"/>
          <w:szCs w:val="32"/>
        </w:rPr>
        <w:t>技术</w:t>
      </w:r>
      <w:r>
        <w:rPr>
          <w:rStyle w:val="8"/>
          <w:rFonts w:ascii="仿宋" w:hAnsi="仿宋" w:eastAsia="仿宋" w:cs="仿宋"/>
          <w:sz w:val="32"/>
          <w:szCs w:val="32"/>
        </w:rPr>
        <w:t>的</w:t>
      </w:r>
      <w:r>
        <w:rPr>
          <w:rStyle w:val="8"/>
          <w:rFonts w:hint="eastAsia" w:ascii="仿宋" w:hAnsi="仿宋" w:eastAsia="仿宋" w:cs="仿宋"/>
          <w:sz w:val="32"/>
          <w:szCs w:val="32"/>
        </w:rPr>
        <w:t>关键分析算法</w:t>
      </w:r>
      <w:r>
        <w:rPr>
          <w:rStyle w:val="8"/>
          <w:rFonts w:ascii="仿宋" w:hAnsi="仿宋" w:eastAsia="仿宋" w:cs="仿宋"/>
          <w:sz w:val="32"/>
          <w:szCs w:val="32"/>
        </w:rPr>
        <w:t>完全自主可控</w:t>
      </w:r>
      <w:r>
        <w:rPr>
          <w:rStyle w:val="8"/>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基于航空发动机外廓复杂结构装配智能检测关键技术研究，针对需要满足以下技术指标：可视范围内</w:t>
      </w:r>
      <w:r>
        <w:rPr>
          <w:rFonts w:ascii="仿宋" w:hAnsi="仿宋" w:eastAsia="仿宋" w:cs="仿宋"/>
          <w:sz w:val="32"/>
          <w:szCs w:val="32"/>
        </w:rPr>
        <w:t>错漏装识别要素不少于6类；</w:t>
      </w:r>
      <w:r>
        <w:rPr>
          <w:rFonts w:hint="eastAsia" w:ascii="仿宋" w:hAnsi="仿宋" w:eastAsia="仿宋" w:cs="仿宋"/>
          <w:sz w:val="32"/>
          <w:szCs w:val="32"/>
        </w:rPr>
        <w:t>可视范围内卡箍保险等</w:t>
      </w:r>
      <w:r>
        <w:rPr>
          <w:rFonts w:ascii="仿宋" w:hAnsi="仿宋" w:eastAsia="仿宋" w:cs="仿宋"/>
          <w:sz w:val="32"/>
          <w:szCs w:val="32"/>
        </w:rPr>
        <w:t>结构件识别准确率不低于90%；</w:t>
      </w:r>
      <w:r>
        <w:rPr>
          <w:rStyle w:val="8"/>
          <w:rFonts w:hint="eastAsia" w:ascii="仿宋" w:hAnsi="仿宋"/>
          <w:sz w:val="32"/>
          <w:szCs w:val="32"/>
        </w:rPr>
        <w:t>③</w:t>
      </w:r>
      <w:r>
        <w:rPr>
          <w:rFonts w:ascii="仿宋" w:hAnsi="仿宋" w:eastAsia="仿宋" w:cs="仿宋"/>
          <w:sz w:val="32"/>
          <w:szCs w:val="32"/>
        </w:rPr>
        <w:t>整体外廓尺寸测量误差小于3mm；</w:t>
      </w:r>
      <w:r>
        <w:rPr>
          <w:rFonts w:hint="eastAsia" w:ascii="仿宋" w:hAnsi="仿宋" w:eastAsia="仿宋" w:cs="仿宋"/>
          <w:sz w:val="32"/>
          <w:szCs w:val="32"/>
        </w:rPr>
        <w:t>④可视范围内</w:t>
      </w:r>
      <w:r>
        <w:rPr>
          <w:rFonts w:ascii="仿宋" w:hAnsi="仿宋" w:eastAsia="仿宋" w:cs="仿宋"/>
          <w:sz w:val="32"/>
          <w:szCs w:val="32"/>
        </w:rPr>
        <w:t>管道</w:t>
      </w:r>
      <w:r>
        <w:rPr>
          <w:rFonts w:hint="eastAsia" w:ascii="仿宋" w:hAnsi="仿宋" w:eastAsia="仿宋" w:cs="仿宋"/>
          <w:sz w:val="32"/>
          <w:szCs w:val="32"/>
        </w:rPr>
        <w:t>提取</w:t>
      </w:r>
      <w:r>
        <w:rPr>
          <w:rFonts w:ascii="仿宋" w:hAnsi="仿宋" w:eastAsia="仿宋" w:cs="仿宋"/>
          <w:sz w:val="32"/>
          <w:szCs w:val="32"/>
        </w:rPr>
        <w:t>精度</w:t>
      </w:r>
      <w:r>
        <w:rPr>
          <w:rFonts w:hint="eastAsia" w:ascii="仿宋" w:hAnsi="仿宋" w:eastAsia="仿宋" w:cs="仿宋"/>
          <w:sz w:val="32"/>
          <w:szCs w:val="32"/>
        </w:rPr>
        <w:t>达到</w:t>
      </w:r>
      <w:r>
        <w:rPr>
          <w:rFonts w:ascii="仿宋" w:hAnsi="仿宋" w:eastAsia="仿宋" w:cs="仿宋"/>
          <w:sz w:val="32"/>
          <w:szCs w:val="32"/>
        </w:rPr>
        <w:t>±0.5mm</w:t>
      </w:r>
      <w:r>
        <w:rPr>
          <w:rFonts w:hint="eastAsia" w:ascii="仿宋" w:hAnsi="仿宋" w:eastAsia="仿宋" w:cs="仿宋"/>
          <w:sz w:val="32"/>
          <w:szCs w:val="32"/>
        </w:rPr>
        <w:t>；可视范围内</w:t>
      </w:r>
      <w:r>
        <w:rPr>
          <w:rFonts w:ascii="仿宋" w:hAnsi="仿宋" w:eastAsia="仿宋" w:cs="仿宋"/>
          <w:sz w:val="32"/>
          <w:szCs w:val="32"/>
        </w:rPr>
        <w:t>管道之间间隙测量精度±0.8mm</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ascii="仿宋" w:hAnsi="仿宋" w:eastAsia="仿宋" w:cs="仿宋"/>
          <w:color w:val="000000" w:themeColor="text1"/>
          <w:sz w:val="32"/>
          <w:szCs w:val="32"/>
          <w14:textFill>
            <w14:solidFill>
              <w14:schemeClr w14:val="tx1"/>
            </w14:solidFill>
          </w14:textFill>
        </w:rPr>
        <w:t>揭榜方工作单位具有武器生产科研单位二级及以上军工保密资质</w:t>
      </w: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揭榜方具有航空航天装备数字化检测相关研究背景</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ascii="仿宋" w:hAnsi="仿宋" w:eastAsia="仿宋" w:cs="仿宋"/>
          <w:color w:val="000000" w:themeColor="text1"/>
          <w:sz w:val="32"/>
          <w:szCs w:val="32"/>
          <w14:textFill>
            <w14:solidFill>
              <w14:schemeClr w14:val="tx1"/>
            </w14:solidFill>
          </w14:textFill>
        </w:rPr>
        <w:t>该项目所创造产生的项目知识产权分三类，揭榜方研发产生的相关成果归揭榜方所有，企业方所负责部分相关成果归企业方所有，双方共同完成的研发成果由双方共同所有；揭榜方需经过企业方同意，并对相关数据进行脱密处理，发表相关论文专利等成果；企业方针对航空发动机管路系统装配检测任务，有权无限期使用该项目中所有相关技术成果；该项目检测系统样机模型归揭榜方所有</w:t>
      </w:r>
      <w:r>
        <w:rPr>
          <w:rFonts w:hint="eastAsia" w:ascii="仿宋" w:hAnsi="仿宋" w:eastAsia="仿宋" w:cs="仿宋"/>
          <w:color w:val="000000" w:themeColor="text1"/>
          <w:sz w:val="32"/>
          <w:szCs w:val="32"/>
          <w14:textFill>
            <w14:solidFill>
              <w14:schemeClr w14:val="tx1"/>
            </w14:solidFill>
          </w14:textFill>
        </w:rPr>
        <w:t>。</w:t>
      </w:r>
    </w:p>
    <w:bookmarkEnd w:id="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Verdana">
    <w:altName w:val="DejaVu Sans"/>
    <w:panose1 w:val="020B0604030504040204"/>
    <w:charset w:val="00"/>
    <w:family w:val="swiss"/>
    <w:pitch w:val="default"/>
    <w:sig w:usb0="00000000" w:usb1="00000000" w:usb2="00000010"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仿宋_GB2312">
    <w:altName w:val="方正仿宋_GBK"/>
    <w:panose1 w:val="00000000000000000000"/>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ascii="仿宋" w:hAnsi="仿宋" w:eastAsia="仿宋" w:cs="仿宋"/>
                              <w:kern w:val="2"/>
                            </w:rPr>
                          </w:pPr>
                          <w:r>
                            <w:rPr>
                              <w:rFonts w:hint="eastAsia" w:ascii="仿宋" w:hAnsi="仿宋" w:eastAsia="仿宋" w:cs="仿宋"/>
                              <w:kern w:val="2"/>
                            </w:rPr>
                            <w:t xml:space="preserve">— </w:t>
                          </w:r>
                          <w:r>
                            <w:rPr>
                              <w:rFonts w:hint="eastAsia" w:ascii="仿宋" w:hAnsi="仿宋" w:eastAsia="仿宋" w:cs="仿宋"/>
                              <w:kern w:val="2"/>
                            </w:rPr>
                            <w:fldChar w:fldCharType="begin"/>
                          </w:r>
                          <w:r>
                            <w:rPr>
                              <w:rFonts w:hint="eastAsia" w:ascii="仿宋" w:hAnsi="仿宋" w:eastAsia="仿宋" w:cs="仿宋"/>
                              <w:kern w:val="2"/>
                            </w:rPr>
                            <w:instrText xml:space="preserve"> PAGE  \* MERGEFORMAT </w:instrText>
                          </w:r>
                          <w:r>
                            <w:rPr>
                              <w:rFonts w:hint="eastAsia" w:ascii="仿宋" w:hAnsi="仿宋" w:eastAsia="仿宋" w:cs="仿宋"/>
                              <w:kern w:val="2"/>
                            </w:rPr>
                            <w:fldChar w:fldCharType="separate"/>
                          </w:r>
                          <w:r>
                            <w:rPr>
                              <w:rFonts w:ascii="仿宋" w:hAnsi="仿宋" w:eastAsia="仿宋" w:cs="仿宋"/>
                              <w:kern w:val="2"/>
                            </w:rPr>
                            <w:t>3</w:t>
                          </w:r>
                          <w:r>
                            <w:rPr>
                              <w:rFonts w:hint="eastAsia" w:ascii="仿宋" w:hAnsi="仿宋" w:eastAsia="仿宋" w:cs="仿宋"/>
                              <w:kern w:val="2"/>
                            </w:rPr>
                            <w:fldChar w:fldCharType="end"/>
                          </w:r>
                          <w:r>
                            <w:rPr>
                              <w:rFonts w:hint="eastAsia" w:ascii="仿宋" w:hAnsi="仿宋" w:eastAsia="仿宋" w:cs="仿宋"/>
                              <w:kern w:val="2"/>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ascii="仿宋" w:hAnsi="仿宋" w:eastAsia="仿宋" w:cs="仿宋"/>
                        <w:kern w:val="2"/>
                      </w:rPr>
                    </w:pPr>
                    <w:r>
                      <w:rPr>
                        <w:rFonts w:hint="eastAsia" w:ascii="仿宋" w:hAnsi="仿宋" w:eastAsia="仿宋" w:cs="仿宋"/>
                        <w:kern w:val="2"/>
                      </w:rPr>
                      <w:t xml:space="preserve">— </w:t>
                    </w:r>
                    <w:r>
                      <w:rPr>
                        <w:rFonts w:hint="eastAsia" w:ascii="仿宋" w:hAnsi="仿宋" w:eastAsia="仿宋" w:cs="仿宋"/>
                        <w:kern w:val="2"/>
                      </w:rPr>
                      <w:fldChar w:fldCharType="begin"/>
                    </w:r>
                    <w:r>
                      <w:rPr>
                        <w:rFonts w:hint="eastAsia" w:ascii="仿宋" w:hAnsi="仿宋" w:eastAsia="仿宋" w:cs="仿宋"/>
                        <w:kern w:val="2"/>
                      </w:rPr>
                      <w:instrText xml:space="preserve"> PAGE  \* MERGEFORMAT </w:instrText>
                    </w:r>
                    <w:r>
                      <w:rPr>
                        <w:rFonts w:hint="eastAsia" w:ascii="仿宋" w:hAnsi="仿宋" w:eastAsia="仿宋" w:cs="仿宋"/>
                        <w:kern w:val="2"/>
                      </w:rPr>
                      <w:fldChar w:fldCharType="separate"/>
                    </w:r>
                    <w:r>
                      <w:rPr>
                        <w:rFonts w:ascii="仿宋" w:hAnsi="仿宋" w:eastAsia="仿宋" w:cs="仿宋"/>
                        <w:kern w:val="2"/>
                      </w:rPr>
                      <w:t>3</w:t>
                    </w:r>
                    <w:r>
                      <w:rPr>
                        <w:rFonts w:hint="eastAsia" w:ascii="仿宋" w:hAnsi="仿宋" w:eastAsia="仿宋" w:cs="仿宋"/>
                        <w:kern w:val="2"/>
                      </w:rPr>
                      <w:fldChar w:fldCharType="end"/>
                    </w:r>
                    <w:r>
                      <w:rPr>
                        <w:rFonts w:hint="eastAsia" w:ascii="仿宋" w:hAnsi="仿宋" w:eastAsia="仿宋" w:cs="仿宋"/>
                        <w:kern w:val="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164AF8"/>
    <w:rsid w:val="00192B23"/>
    <w:rsid w:val="003E120B"/>
    <w:rsid w:val="005062E6"/>
    <w:rsid w:val="006C65F9"/>
    <w:rsid w:val="007277EA"/>
    <w:rsid w:val="009C75EC"/>
    <w:rsid w:val="009D4426"/>
    <w:rsid w:val="00A53AFB"/>
    <w:rsid w:val="00B0220E"/>
    <w:rsid w:val="00CD4E6E"/>
    <w:rsid w:val="00D46FA6"/>
    <w:rsid w:val="00DF75EB"/>
    <w:rsid w:val="00E21AB4"/>
    <w:rsid w:val="0D491107"/>
    <w:rsid w:val="1191673D"/>
    <w:rsid w:val="15DB35DD"/>
    <w:rsid w:val="175E0D26"/>
    <w:rsid w:val="1790019C"/>
    <w:rsid w:val="1B346237"/>
    <w:rsid w:val="1C231A28"/>
    <w:rsid w:val="230E75B5"/>
    <w:rsid w:val="29F60A01"/>
    <w:rsid w:val="2B0C71E8"/>
    <w:rsid w:val="2D2C6DD0"/>
    <w:rsid w:val="2DC046A1"/>
    <w:rsid w:val="30DA5678"/>
    <w:rsid w:val="35EC5749"/>
    <w:rsid w:val="363A72E6"/>
    <w:rsid w:val="407E7B8C"/>
    <w:rsid w:val="479E3B1A"/>
    <w:rsid w:val="55AC37E9"/>
    <w:rsid w:val="590C4A99"/>
    <w:rsid w:val="5B3C7532"/>
    <w:rsid w:val="7F492F44"/>
    <w:rsid w:val="FF6FD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1"/>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255</Words>
  <Characters>1454</Characters>
  <Lines>12</Lines>
  <Paragraphs>3</Paragraphs>
  <TotalTime>2</TotalTime>
  <ScaleCrop>false</ScaleCrop>
  <LinksUpToDate>false</LinksUpToDate>
  <CharactersWithSpaces>1706</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2022-08-25T17:51:00Z</dcterms:created>
  <dc:creator>马春丽</dc:creator>
  <cp:lastModifiedBy>ysgz</cp:lastModifiedBy>
  <cp:lastPrinted>2024-04-03T18:49:00Z</cp:lastPrinted>
  <dcterms:modified xsi:type="dcterms:W3CDTF">2024-04-19T11:52:03Z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