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0" w:firstLineChars="0"/>
        <w:jc w:val="center"/>
        <w:textAlignment w:val="auto"/>
        <w:rPr>
          <w:rFonts w:hint="default" w:ascii="方正小标宋简体" w:hAnsi="黑体" w:eastAsia="方正小标宋简体" w:cs="方正小标宋简体"/>
          <w:sz w:val="36"/>
          <w:szCs w:val="36"/>
          <w:lang w:val="en-US" w:eastAsia="zh-CN"/>
        </w:rPr>
      </w:pPr>
      <w:r>
        <w:rPr>
          <w:rFonts w:hint="eastAsia" w:ascii="方正小标宋简体" w:hAnsi="黑体" w:eastAsia="方正小标宋简体" w:cs="方正小标宋简体"/>
          <w:sz w:val="36"/>
          <w:szCs w:val="36"/>
        </w:rPr>
        <w:t>省教育厅“百校千企科技攻关揭榜挂帅榜单”</w:t>
      </w:r>
      <w:r>
        <w:rPr>
          <w:rFonts w:hint="eastAsia" w:ascii="方正小标宋简体" w:hAnsi="黑体" w:eastAsia="方正小标宋简体" w:cs="方正小标宋简体"/>
          <w:sz w:val="36"/>
          <w:szCs w:val="36"/>
          <w:lang w:val="en-US" w:eastAsia="zh-CN"/>
        </w:rPr>
        <w:t>17</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0" w:firstLineChars="0"/>
        <w:jc w:val="center"/>
        <w:textAlignment w:val="auto"/>
        <w:rPr>
          <w:rFonts w:hint="eastAsia" w:ascii="方正小标宋简体" w:hAnsi="黑体" w:eastAsia="方正小标宋简体" w:cs="方正小标宋简体"/>
          <w:sz w:val="36"/>
          <w:szCs w:val="36"/>
        </w:rPr>
      </w:pPr>
    </w:p>
    <w:p>
      <w:pPr>
        <w:adjustRightInd w:val="0"/>
        <w:snapToGrid w:val="0"/>
        <w:spacing w:line="560" w:lineRule="exact"/>
        <w:ind w:firstLine="640" w:firstLineChars="200"/>
        <w:rPr>
          <w:rFonts w:ascii="Times New Roman" w:hAnsi="Times New Roman" w:eastAsia="黑体" w:cs="Times New Roman"/>
          <w:color w:val="000000" w:themeColor="text1"/>
          <w:kern w:val="2"/>
          <w:sz w:val="32"/>
          <w:szCs w:val="32"/>
          <w14:textFill>
            <w14:solidFill>
              <w14:schemeClr w14:val="tx1"/>
            </w14:solidFill>
          </w14:textFill>
        </w:rPr>
      </w:pPr>
      <w:r>
        <w:rPr>
          <w:rFonts w:ascii="Times New Roman" w:hAnsi="Times New Roman" w:eastAsia="黑体" w:cs="Times New Roman"/>
          <w:color w:val="000000" w:themeColor="text1"/>
          <w:kern w:val="2"/>
          <w:sz w:val="32"/>
          <w:szCs w:val="32"/>
          <w14:textFill>
            <w14:solidFill>
              <w14:schemeClr w14:val="tx1"/>
            </w14:solidFill>
          </w14:textFill>
        </w:rPr>
        <w:t>一、技术需求名称</w:t>
      </w:r>
    </w:p>
    <w:p>
      <w:pPr>
        <w:adjustRightInd w:val="0"/>
        <w:snapToGrid w:val="0"/>
        <w:spacing w:line="560" w:lineRule="exact"/>
        <w:ind w:firstLine="640" w:firstLineChars="200"/>
        <w:rPr>
          <w:rStyle w:val="9"/>
          <w:rFonts w:ascii="仿宋" w:hAnsi="仿宋" w:eastAsia="仿宋" w:cs="仿宋"/>
          <w:color w:val="000000" w:themeColor="text1"/>
          <w:sz w:val="32"/>
          <w:szCs w:val="32"/>
          <w14:textFill>
            <w14:solidFill>
              <w14:schemeClr w14:val="tx1"/>
            </w14:solidFill>
          </w14:textFill>
        </w:rPr>
      </w:pPr>
      <w:r>
        <w:rPr>
          <w:rStyle w:val="9"/>
          <w:rFonts w:hint="eastAsia" w:ascii="仿宋" w:hAnsi="仿宋" w:eastAsia="仿宋" w:cs="仿宋"/>
          <w:color w:val="000000" w:themeColor="text1"/>
          <w:sz w:val="32"/>
          <w:szCs w:val="32"/>
          <w14:textFill>
            <w14:solidFill>
              <w14:schemeClr w14:val="tx1"/>
            </w14:solidFill>
          </w14:textFill>
        </w:rPr>
        <w:t>加工型叶用芥菜新品种选育及现代化加工关键技术研究</w:t>
      </w:r>
    </w:p>
    <w:p>
      <w:pPr>
        <w:adjustRightInd w:val="0"/>
        <w:snapToGrid w:val="0"/>
        <w:spacing w:line="560" w:lineRule="exact"/>
        <w:ind w:firstLine="640" w:firstLineChars="200"/>
        <w:rPr>
          <w:rFonts w:ascii="Times New Roman" w:hAnsi="Times New Roman" w:eastAsia="黑体" w:cs="Times New Roman"/>
          <w:color w:val="000000" w:themeColor="text1"/>
          <w:kern w:val="2"/>
          <w:sz w:val="32"/>
          <w:szCs w:val="32"/>
          <w14:textFill>
            <w14:solidFill>
              <w14:schemeClr w14:val="tx1"/>
            </w14:solidFill>
          </w14:textFill>
        </w:rPr>
      </w:pPr>
      <w:r>
        <w:rPr>
          <w:rFonts w:ascii="Times New Roman" w:hAnsi="Times New Roman" w:eastAsia="黑体" w:cs="Times New Roman"/>
          <w:color w:val="000000" w:themeColor="text1"/>
          <w:kern w:val="2"/>
          <w:sz w:val="32"/>
          <w:szCs w:val="32"/>
          <w14:textFill>
            <w14:solidFill>
              <w14:schemeClr w14:val="tx1"/>
            </w14:solidFill>
          </w14:textFill>
        </w:rPr>
        <w:t>二、技术需求企业</w:t>
      </w:r>
    </w:p>
    <w:p>
      <w:pPr>
        <w:adjustRightInd w:val="0"/>
        <w:snapToGrid w:val="0"/>
        <w:spacing w:line="560" w:lineRule="exact"/>
        <w:ind w:firstLine="640" w:firstLineChars="200"/>
        <w:rPr>
          <w:rFonts w:ascii="仿宋" w:hAnsi="仿宋" w:eastAsia="仿宋" w:cs="仿宋"/>
          <w:color w:val="000000" w:themeColor="text1"/>
          <w:kern w:val="2"/>
          <w:sz w:val="32"/>
          <w:szCs w:val="32"/>
          <w14:textFill>
            <w14:solidFill>
              <w14:schemeClr w14:val="tx1"/>
            </w14:solidFill>
          </w14:textFill>
        </w:rPr>
      </w:pPr>
      <w:r>
        <w:rPr>
          <w:rFonts w:hint="eastAsia" w:ascii="仿宋" w:hAnsi="仿宋" w:eastAsia="仿宋" w:cs="仿宋"/>
          <w:color w:val="000000" w:themeColor="text1"/>
          <w:sz w:val="32"/>
          <w:szCs w:val="32"/>
          <w:shd w:val="clear" w:color="auto" w:fill="FFFFFF"/>
          <w14:textFill>
            <w14:solidFill>
              <w14:schemeClr w14:val="tx1"/>
            </w14:solidFill>
          </w14:textFill>
        </w:rPr>
        <w:t>贵州卓豪农业科技股份有限公司</w:t>
      </w:r>
    </w:p>
    <w:p>
      <w:pPr>
        <w:adjustRightInd w:val="0"/>
        <w:snapToGrid w:val="0"/>
        <w:spacing w:line="560" w:lineRule="exact"/>
        <w:ind w:left="640"/>
        <w:rPr>
          <w:rFonts w:ascii="Times New Roman" w:hAnsi="Times New Roman" w:eastAsia="黑体" w:cs="Times New Roman"/>
          <w:color w:val="000000" w:themeColor="text1"/>
          <w:kern w:val="2"/>
          <w:sz w:val="32"/>
          <w:szCs w:val="32"/>
          <w14:textFill>
            <w14:solidFill>
              <w14:schemeClr w14:val="tx1"/>
            </w14:solidFill>
          </w14:textFill>
        </w:rPr>
      </w:pPr>
      <w:r>
        <w:rPr>
          <w:rFonts w:hint="eastAsia" w:ascii="Times New Roman" w:hAnsi="Times New Roman" w:eastAsia="黑体" w:cs="Times New Roman"/>
          <w:color w:val="000000" w:themeColor="text1"/>
          <w:kern w:val="2"/>
          <w:sz w:val="32"/>
          <w:szCs w:val="32"/>
          <w14:textFill>
            <w14:solidFill>
              <w14:schemeClr w14:val="tx1"/>
            </w14:solidFill>
          </w14:textFill>
        </w:rPr>
        <w:t>三、</w:t>
      </w:r>
      <w:r>
        <w:rPr>
          <w:rFonts w:ascii="Times New Roman" w:hAnsi="Times New Roman" w:eastAsia="黑体" w:cs="Times New Roman"/>
          <w:color w:val="000000" w:themeColor="text1"/>
          <w:kern w:val="2"/>
          <w:sz w:val="32"/>
          <w:szCs w:val="32"/>
          <w14:textFill>
            <w14:solidFill>
              <w14:schemeClr w14:val="tx1"/>
            </w14:solidFill>
          </w14:textFill>
        </w:rPr>
        <w:t>需求方简介</w:t>
      </w:r>
    </w:p>
    <w:p>
      <w:pPr>
        <w:adjustRightInd w:val="0"/>
        <w:snapToGrid w:val="0"/>
        <w:spacing w:line="560" w:lineRule="exact"/>
        <w:ind w:firstLine="640" w:firstLineChars="200"/>
        <w:rPr>
          <w:rFonts w:ascii="仿宋" w:hAnsi="仿宋" w:eastAsia="仿宋" w:cs="仿宋"/>
          <w:color w:val="000000" w:themeColor="text1"/>
          <w:sz w:val="32"/>
          <w:szCs w:val="32"/>
          <w:shd w:val="clear" w:color="auto" w:fill="FFFFFF"/>
          <w14:textFill>
            <w14:solidFill>
              <w14:schemeClr w14:val="tx1"/>
            </w14:solidFill>
          </w14:textFill>
        </w:rPr>
      </w:pPr>
      <w:r>
        <w:rPr>
          <w:rFonts w:hint="eastAsia" w:ascii="仿宋" w:hAnsi="仿宋" w:eastAsia="仿宋" w:cs="仿宋"/>
          <w:color w:val="000000" w:themeColor="text1"/>
          <w:sz w:val="32"/>
          <w:szCs w:val="32"/>
          <w:shd w:val="clear" w:color="auto" w:fill="FFFFFF"/>
          <w14:textFill>
            <w14:solidFill>
              <w14:schemeClr w14:val="tx1"/>
            </w14:solidFill>
          </w14:textFill>
        </w:rPr>
        <w:t>贵州卓豪农业科技股份有限公司是一家集农作物品种繁育、绿色防控、作物营养、健康栽培、农技培训、社会化服务、特色农产品生产销售为一体的农业产业化综合配套企业，注册资金1亿元，公司位于贵州省遵义市播州区龙泉大道16号。公司是全国股转系统新三板上市企业（股票代码：839606）、农业产业化国家重点龙头企业、国家高新技术企业、全国百强统防统治示范组织、全国星级农业科技社会化服务组织、贵州省首批育、繁、推一体化种业企业，贵州省诚信示范企业、贵州省“专精特新”小巨人企业、贵州省扶贫重点龙头企业、贵州省先进就业扶贫基地，2022年荣获“贵州省五一劳动奖状”。</w:t>
      </w:r>
    </w:p>
    <w:p>
      <w:pPr>
        <w:adjustRightInd w:val="0"/>
        <w:snapToGrid w:val="0"/>
        <w:spacing w:line="560" w:lineRule="exact"/>
        <w:ind w:firstLine="640" w:firstLineChars="200"/>
        <w:rPr>
          <w:rFonts w:ascii="Times New Roman" w:hAnsi="Times New Roman" w:eastAsia="黑体" w:cs="Times New Roman"/>
          <w:color w:val="000000" w:themeColor="text1"/>
          <w:kern w:val="2"/>
          <w:sz w:val="32"/>
          <w:szCs w:val="32"/>
          <w14:textFill>
            <w14:solidFill>
              <w14:schemeClr w14:val="tx1"/>
            </w14:solidFill>
          </w14:textFill>
        </w:rPr>
      </w:pPr>
      <w:r>
        <w:rPr>
          <w:rFonts w:ascii="Times New Roman" w:hAnsi="Times New Roman" w:eastAsia="黑体" w:cs="Times New Roman"/>
          <w:color w:val="000000" w:themeColor="text1"/>
          <w:kern w:val="2"/>
          <w:sz w:val="32"/>
          <w:szCs w:val="32"/>
          <w14:textFill>
            <w14:solidFill>
              <w14:schemeClr w14:val="tx1"/>
            </w14:solidFill>
          </w14:textFill>
        </w:rPr>
        <w:t>四、技术需求描述</w:t>
      </w:r>
    </w:p>
    <w:p>
      <w:pPr>
        <w:adjustRightInd w:val="0"/>
        <w:snapToGrid w:val="0"/>
        <w:spacing w:line="560" w:lineRule="exact"/>
        <w:ind w:firstLine="642" w:firstLineChars="200"/>
        <w:rPr>
          <w:rFonts w:ascii="Times New Roman" w:hAnsi="Times New Roman" w:eastAsia="楷体_GB2312" w:cs="Times New Roman"/>
          <w:b/>
          <w:bCs/>
          <w:color w:val="000000" w:themeColor="text1"/>
          <w:kern w:val="2"/>
          <w:sz w:val="32"/>
          <w:szCs w:val="32"/>
          <w14:textFill>
            <w14:solidFill>
              <w14:schemeClr w14:val="tx1"/>
            </w14:solidFill>
          </w14:textFill>
        </w:rPr>
      </w:pPr>
      <w:r>
        <w:rPr>
          <w:rFonts w:ascii="Times New Roman" w:hAnsi="Times New Roman" w:eastAsia="楷体_GB2312" w:cs="Times New Roman"/>
          <w:b/>
          <w:bCs/>
          <w:color w:val="000000" w:themeColor="text1"/>
          <w:kern w:val="2"/>
          <w:sz w:val="32"/>
          <w:szCs w:val="32"/>
          <w14:textFill>
            <w14:solidFill>
              <w14:schemeClr w14:val="tx1"/>
            </w14:solidFill>
          </w14:textFill>
        </w:rPr>
        <w:t>（一）技术难题</w:t>
      </w:r>
    </w:p>
    <w:p>
      <w:pPr>
        <w:adjustRightInd w:val="0"/>
        <w:snapToGrid w:val="0"/>
        <w:spacing w:line="560" w:lineRule="exact"/>
        <w:ind w:firstLine="640" w:firstLineChars="200"/>
        <w:rPr>
          <w:rStyle w:val="9"/>
          <w:rFonts w:ascii="仿宋" w:hAnsi="仿宋" w:eastAsia="仿宋" w:cs="仿宋"/>
          <w:color w:val="000000" w:themeColor="text1"/>
          <w:sz w:val="32"/>
          <w:szCs w:val="32"/>
          <w14:textFill>
            <w14:solidFill>
              <w14:schemeClr w14:val="tx1"/>
            </w14:solidFill>
          </w14:textFill>
        </w:rPr>
      </w:pPr>
      <w:r>
        <w:rPr>
          <w:rStyle w:val="9"/>
          <w:rFonts w:hint="eastAsia" w:ascii="仿宋" w:hAnsi="仿宋" w:eastAsia="仿宋" w:cs="仿宋"/>
          <w:color w:val="000000" w:themeColor="text1"/>
          <w:sz w:val="32"/>
          <w:szCs w:val="32"/>
          <w14:textFill>
            <w14:solidFill>
              <w14:schemeClr w14:val="tx1"/>
            </w14:solidFill>
          </w14:textFill>
        </w:rPr>
        <w:t>贵州素有使用叶用芥菜加工盐酸菜、水盐菜、香辣菜的传统，腌制后的叶用芥菜咸酸浓郁、鲜爽提味。贵州有盐酸菜加工企业近</w:t>
      </w:r>
      <w:r>
        <w:rPr>
          <w:rStyle w:val="9"/>
          <w:rFonts w:ascii="仿宋" w:hAnsi="仿宋" w:eastAsia="仿宋" w:cs="仿宋"/>
          <w:color w:val="000000" w:themeColor="text1"/>
          <w:sz w:val="32"/>
          <w:szCs w:val="32"/>
          <w14:textFill>
            <w14:solidFill>
              <w14:schemeClr w14:val="tx1"/>
            </w14:solidFill>
          </w14:textFill>
        </w:rPr>
        <w:t>40家，知名产品有“老干妈”牌香辣菜、“独山”牌盐酸菜、“素园”牌水盐菜等。叶用芥菜在全省88个县(市、区)均有栽培，常年种植面积约50万亩。叶用芥菜具有良好的产业化基础，可在原产地进行半成品加工，再统一进行精加工后外销，不受场地限制。</w:t>
      </w:r>
    </w:p>
    <w:p>
      <w:pPr>
        <w:adjustRightInd w:val="0"/>
        <w:snapToGrid w:val="0"/>
        <w:spacing w:line="560" w:lineRule="exact"/>
        <w:ind w:firstLine="640" w:firstLineChars="200"/>
        <w:rPr>
          <w:rStyle w:val="9"/>
          <w:rFonts w:ascii="仿宋" w:hAnsi="仿宋" w:eastAsia="仿宋" w:cs="仿宋"/>
          <w:color w:val="000000" w:themeColor="text1"/>
          <w:sz w:val="32"/>
          <w:szCs w:val="32"/>
          <w14:textFill>
            <w14:solidFill>
              <w14:schemeClr w14:val="tx1"/>
            </w14:solidFill>
          </w14:textFill>
        </w:rPr>
      </w:pPr>
      <w:r>
        <w:rPr>
          <w:rStyle w:val="9"/>
          <w:rFonts w:hint="eastAsia" w:ascii="仿宋" w:hAnsi="仿宋" w:eastAsia="仿宋" w:cs="仿宋"/>
          <w:color w:val="000000" w:themeColor="text1"/>
          <w:sz w:val="32"/>
          <w:szCs w:val="32"/>
          <w14:textFill>
            <w14:solidFill>
              <w14:schemeClr w14:val="tx1"/>
            </w14:solidFill>
          </w14:textFill>
        </w:rPr>
        <w:t>近年来，贵州省大力实施农产品加工业提质增效行动，叶用芥菜需求量逐年增加。与芥菜常规品种相比，加工用芥菜需求为：宽叶柄、少叶、小中柱、无（少）刺、叶色黄绿等性状，但当前推广叶用芥菜品种主要为常规种或农家种，栽培性状和抗病能力较差导致产量及品质不稳定。因此，种植户迫切希望选育具有优良栽培和抗病性状的叶用芥菜品种。</w:t>
      </w:r>
    </w:p>
    <w:p>
      <w:pPr>
        <w:adjustRightInd w:val="0"/>
        <w:snapToGrid w:val="0"/>
        <w:spacing w:line="560" w:lineRule="exact"/>
        <w:ind w:firstLine="640" w:firstLineChars="200"/>
        <w:rPr>
          <w:rStyle w:val="9"/>
          <w:rFonts w:ascii="仿宋" w:hAnsi="仿宋" w:eastAsia="仿宋" w:cs="仿宋"/>
          <w:color w:val="000000" w:themeColor="text1"/>
          <w:sz w:val="32"/>
          <w:szCs w:val="32"/>
          <w14:textFill>
            <w14:solidFill>
              <w14:schemeClr w14:val="tx1"/>
            </w14:solidFill>
          </w14:textFill>
        </w:rPr>
      </w:pPr>
      <w:r>
        <w:rPr>
          <w:rStyle w:val="9"/>
          <w:rFonts w:hint="eastAsia" w:ascii="仿宋" w:hAnsi="仿宋" w:eastAsia="仿宋" w:cs="仿宋"/>
          <w:color w:val="000000" w:themeColor="text1"/>
          <w:sz w:val="32"/>
          <w:szCs w:val="32"/>
          <w14:textFill>
            <w14:solidFill>
              <w14:schemeClr w14:val="tx1"/>
            </w14:solidFill>
          </w14:textFill>
        </w:rPr>
        <w:t>盐酸菜产业是“贵州酸”特色产业的重要组成部分，由于加工型芥菜和传统芥菜育种目标差异较大，导致当前盐酸菜产业“好菜缺好种”。此外，当前盐酸菜加工、方式粗放、高档次产品少、标准化程度低、环境污染严重等问题，严重制约着盐酸菜加工产业的持续健康发展。</w:t>
      </w:r>
    </w:p>
    <w:p>
      <w:pPr>
        <w:adjustRightInd w:val="0"/>
        <w:snapToGrid w:val="0"/>
        <w:spacing w:line="560" w:lineRule="exact"/>
        <w:ind w:firstLine="642" w:firstLineChars="200"/>
        <w:rPr>
          <w:rFonts w:ascii="Times New Roman" w:hAnsi="Times New Roman" w:eastAsia="楷体_GB2312" w:cs="Times New Roman"/>
          <w:b/>
          <w:bCs/>
          <w:color w:val="000000" w:themeColor="text1"/>
          <w:kern w:val="2"/>
          <w:sz w:val="32"/>
          <w:szCs w:val="32"/>
          <w14:textFill>
            <w14:solidFill>
              <w14:schemeClr w14:val="tx1"/>
            </w14:solidFill>
          </w14:textFill>
        </w:rPr>
      </w:pPr>
      <w:r>
        <w:rPr>
          <w:rFonts w:ascii="Times New Roman" w:hAnsi="Times New Roman" w:eastAsia="楷体_GB2312" w:cs="Times New Roman"/>
          <w:b/>
          <w:bCs/>
          <w:color w:val="000000" w:themeColor="text1"/>
          <w:kern w:val="2"/>
          <w:sz w:val="32"/>
          <w:szCs w:val="32"/>
          <w14:textFill>
            <w14:solidFill>
              <w14:schemeClr w14:val="tx1"/>
            </w14:solidFill>
          </w14:textFill>
        </w:rPr>
        <w:t>（二）攻关内容</w:t>
      </w:r>
    </w:p>
    <w:p>
      <w:pPr>
        <w:adjustRightInd w:val="0"/>
        <w:snapToGrid w:val="0"/>
        <w:spacing w:line="560" w:lineRule="exact"/>
        <w:ind w:firstLine="640" w:firstLineChars="200"/>
        <w:rPr>
          <w:rFonts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1.</w:t>
      </w:r>
      <w:r>
        <w:rPr>
          <w:rFonts w:ascii="仿宋" w:hAnsi="仿宋" w:eastAsia="仿宋" w:cs="仿宋"/>
          <w:b w:val="0"/>
          <w:bCs w:val="0"/>
          <w:color w:val="000000" w:themeColor="text1"/>
          <w:sz w:val="32"/>
          <w:szCs w:val="32"/>
          <w14:textFill>
            <w14:solidFill>
              <w14:schemeClr w14:val="tx1"/>
            </w14:solidFill>
          </w14:textFill>
        </w:rPr>
        <w:t>加工专用型叶用芥菜品种选育</w:t>
      </w:r>
    </w:p>
    <w:p>
      <w:pPr>
        <w:adjustRightInd w:val="0"/>
        <w:snapToGrid w:val="0"/>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针对加工型叶用芥菜对目标性状的要求，充分利用不同类型叶用芥菜特色资源，收集芥菜种质资源进行生物学性状调查，并对色素、芥子油苷、酚类物质等关键营养品质进行评价，根据加工用盐酸菜对原材料的要求，以宽叶柄、少叶、小中柱、无（少）刺、叶色淡绿等为目标品质性状，进行叶用芥菜品种引种、筛选和定向选育，解决对高品质加工叶用芥菜的需求。</w:t>
      </w:r>
    </w:p>
    <w:p>
      <w:pPr>
        <w:adjustRightInd w:val="0"/>
        <w:snapToGrid w:val="0"/>
        <w:spacing w:line="560" w:lineRule="exact"/>
        <w:ind w:firstLine="640" w:firstLineChars="200"/>
        <w:rPr>
          <w:rFonts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2.</w:t>
      </w:r>
      <w:r>
        <w:rPr>
          <w:rFonts w:ascii="仿宋" w:hAnsi="仿宋" w:eastAsia="仿宋" w:cs="仿宋"/>
          <w:b w:val="0"/>
          <w:bCs w:val="0"/>
          <w:color w:val="000000" w:themeColor="text1"/>
          <w:sz w:val="32"/>
          <w:szCs w:val="32"/>
          <w14:textFill>
            <w14:solidFill>
              <w14:schemeClr w14:val="tx1"/>
            </w14:solidFill>
          </w14:textFill>
        </w:rPr>
        <w:t>抗根肿病叶用芥菜新种质创制</w:t>
      </w:r>
    </w:p>
    <w:p>
      <w:pPr>
        <w:adjustRightInd w:val="0"/>
        <w:snapToGrid w:val="0"/>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贵州叶用芥菜每年因根肿病减产达</w:t>
      </w:r>
      <w:r>
        <w:rPr>
          <w:rFonts w:ascii="仿宋" w:hAnsi="仿宋" w:eastAsia="仿宋" w:cs="仿宋"/>
          <w:color w:val="000000" w:themeColor="text1"/>
          <w:sz w:val="32"/>
          <w:szCs w:val="32"/>
          <w14:textFill>
            <w14:solidFill>
              <w14:schemeClr w14:val="tx1"/>
            </w14:solidFill>
          </w14:textFill>
        </w:rPr>
        <w:t>30%以上，部分地区甚至绝收。针对当前叶用芥菜抗病种质资源匮乏的难题，构建芥菜遗传转化与基因编辑体系，利用生物育种和常规杂交育种手段，在叶用芥菜中导入抗根肿病基因，创制抗根肿病的叶用芥菜新种质。</w:t>
      </w:r>
    </w:p>
    <w:p>
      <w:pPr>
        <w:adjustRightInd w:val="0"/>
        <w:snapToGrid w:val="0"/>
        <w:spacing w:line="560" w:lineRule="exact"/>
        <w:ind w:firstLine="640" w:firstLineChars="200"/>
        <w:rPr>
          <w:rFonts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3.</w:t>
      </w:r>
      <w:r>
        <w:rPr>
          <w:rFonts w:ascii="仿宋" w:hAnsi="仿宋" w:eastAsia="仿宋" w:cs="仿宋"/>
          <w:b w:val="0"/>
          <w:bCs w:val="0"/>
          <w:color w:val="000000" w:themeColor="text1"/>
          <w:sz w:val="32"/>
          <w:szCs w:val="32"/>
          <w14:textFill>
            <w14:solidFill>
              <w14:schemeClr w14:val="tx1"/>
            </w14:solidFill>
          </w14:textFill>
        </w:rPr>
        <w:t>发酵芥菜现代化加工关键技术及标准化研究</w:t>
      </w:r>
    </w:p>
    <w:p>
      <w:pPr>
        <w:adjustRightInd w:val="0"/>
        <w:snapToGrid w:val="0"/>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针对芥菜腌制方式粗放、高档次产品少、标准化程度低、环境污染严重等问题，重点突破腌制预处理技术、发酵菌株筛选及二次发酵技术升级等关键技术，通过感官评价与内在品质测定解析发酵芥菜风格特征，实现发酵芥菜从“采收、产地预处理到深加工”全产业链无缝衔接。</w:t>
      </w:r>
    </w:p>
    <w:p>
      <w:pPr>
        <w:adjustRightInd w:val="0"/>
        <w:snapToGrid w:val="0"/>
        <w:spacing w:line="560" w:lineRule="exact"/>
        <w:ind w:firstLine="640" w:firstLineChars="200"/>
        <w:rPr>
          <w:rFonts w:ascii="Times New Roman" w:hAnsi="Times New Roman" w:eastAsia="黑体" w:cs="Times New Roman"/>
          <w:color w:val="000000" w:themeColor="text1"/>
          <w:kern w:val="2"/>
          <w:sz w:val="32"/>
          <w:szCs w:val="32"/>
          <w14:textFill>
            <w14:solidFill>
              <w14:schemeClr w14:val="tx1"/>
            </w14:solidFill>
          </w14:textFill>
        </w:rPr>
      </w:pPr>
      <w:r>
        <w:rPr>
          <w:rFonts w:ascii="Times New Roman" w:hAnsi="Times New Roman" w:eastAsia="黑体" w:cs="Times New Roman"/>
          <w:color w:val="000000" w:themeColor="text1"/>
          <w:kern w:val="2"/>
          <w:sz w:val="32"/>
          <w:szCs w:val="32"/>
          <w14:textFill>
            <w14:solidFill>
              <w14:schemeClr w14:val="tx1"/>
            </w14:solidFill>
          </w14:textFill>
        </w:rPr>
        <w:t>五、考核指标</w:t>
      </w:r>
    </w:p>
    <w:p>
      <w:pPr>
        <w:adjustRightInd w:val="0"/>
        <w:snapToGrid w:val="0"/>
        <w:spacing w:line="560" w:lineRule="exact"/>
        <w:ind w:firstLine="642" w:firstLineChars="200"/>
        <w:rPr>
          <w:rFonts w:ascii="Times New Roman" w:hAnsi="Times New Roman" w:eastAsia="楷体_GB2312" w:cs="Times New Roman"/>
          <w:b/>
          <w:bCs/>
          <w:color w:val="000000" w:themeColor="text1"/>
          <w:kern w:val="2"/>
          <w:sz w:val="32"/>
          <w:szCs w:val="32"/>
          <w14:textFill>
            <w14:solidFill>
              <w14:schemeClr w14:val="tx1"/>
            </w14:solidFill>
          </w14:textFill>
        </w:rPr>
      </w:pPr>
      <w:r>
        <w:rPr>
          <w:rFonts w:ascii="Times New Roman" w:hAnsi="Times New Roman" w:eastAsia="楷体_GB2312" w:cs="Times New Roman"/>
          <w:b/>
          <w:bCs/>
          <w:color w:val="000000" w:themeColor="text1"/>
          <w:kern w:val="2"/>
          <w:sz w:val="32"/>
          <w:szCs w:val="32"/>
          <w14:textFill>
            <w14:solidFill>
              <w14:schemeClr w14:val="tx1"/>
            </w14:solidFill>
          </w14:textFill>
        </w:rPr>
        <w:t>（一）研发目标</w:t>
      </w:r>
    </w:p>
    <w:p>
      <w:pPr>
        <w:adjustRightInd w:val="0"/>
        <w:snapToGrid w:val="0"/>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Style w:val="9"/>
          <w:rFonts w:hint="eastAsia" w:ascii="仿宋" w:hAnsi="仿宋" w:eastAsia="仿宋" w:cs="仿宋"/>
          <w:color w:val="000000" w:themeColor="text1"/>
          <w:sz w:val="32"/>
          <w:szCs w:val="32"/>
          <w14:textFill>
            <w14:solidFill>
              <w14:schemeClr w14:val="tx1"/>
            </w14:solidFill>
          </w14:textFill>
        </w:rPr>
        <w:t>针对加工型芥菜所需特殊目标性状和影响芥菜产量的抗病性状进行定向选育，</w:t>
      </w:r>
      <w:r>
        <w:rPr>
          <w:rStyle w:val="9"/>
          <w:rFonts w:ascii="仿宋" w:hAnsi="仿宋" w:eastAsia="仿宋" w:cs="仿宋"/>
          <w:color w:val="000000" w:themeColor="text1"/>
          <w:sz w:val="32"/>
          <w:szCs w:val="32"/>
          <w14:textFill>
            <w14:solidFill>
              <w14:schemeClr w14:val="tx1"/>
            </w14:solidFill>
          </w14:textFill>
        </w:rPr>
        <w:t>选育适宜加工的叶用芥菜优质品种，创制抗根肿病芥菜育种材料；</w:t>
      </w:r>
      <w:r>
        <w:rPr>
          <w:rStyle w:val="9"/>
          <w:rFonts w:hint="eastAsia" w:ascii="仿宋" w:hAnsi="仿宋" w:eastAsia="仿宋" w:cs="仿宋"/>
          <w:color w:val="000000" w:themeColor="text1"/>
          <w:sz w:val="32"/>
          <w:szCs w:val="32"/>
          <w14:textFill>
            <w14:solidFill>
              <w14:schemeClr w14:val="tx1"/>
            </w14:solidFill>
          </w14:textFill>
        </w:rPr>
        <w:t>在此基础上，开展发酵芥菜现代化加工关键技术及标准化研究，</w:t>
      </w:r>
      <w:r>
        <w:rPr>
          <w:rFonts w:hint="eastAsia" w:ascii="仿宋" w:hAnsi="仿宋" w:eastAsia="仿宋" w:cs="仿宋"/>
          <w:color w:val="000000" w:themeColor="text1"/>
          <w:sz w:val="32"/>
          <w:szCs w:val="32"/>
          <w14:textFill>
            <w14:solidFill>
              <w14:schemeClr w14:val="tx1"/>
            </w14:solidFill>
          </w14:textFill>
        </w:rPr>
        <w:t>建立一套包括腌制预处理技术、发酵菌株筛选及二次发酵技术升级的标准化生产技术规程，实现发酵效率提升</w:t>
      </w:r>
      <w:r>
        <w:rPr>
          <w:rFonts w:ascii="仿宋" w:hAnsi="仿宋" w:eastAsia="仿宋" w:cs="仿宋"/>
          <w:color w:val="000000" w:themeColor="text1"/>
          <w:sz w:val="32"/>
          <w:szCs w:val="32"/>
          <w14:textFill>
            <w14:solidFill>
              <w14:schemeClr w14:val="tx1"/>
            </w14:solidFill>
          </w14:textFill>
        </w:rPr>
        <w:t>40%，发酵周期缩短至48小时。</w:t>
      </w:r>
    </w:p>
    <w:p>
      <w:pPr>
        <w:adjustRightInd w:val="0"/>
        <w:snapToGrid w:val="0"/>
        <w:spacing w:line="560" w:lineRule="exact"/>
        <w:ind w:firstLine="642" w:firstLineChars="200"/>
        <w:rPr>
          <w:rFonts w:ascii="Times New Roman" w:hAnsi="Times New Roman" w:eastAsia="楷体_GB2312" w:cs="Times New Roman"/>
          <w:b/>
          <w:bCs/>
          <w:color w:val="000000" w:themeColor="text1"/>
          <w:kern w:val="2"/>
          <w:sz w:val="32"/>
          <w:szCs w:val="32"/>
          <w14:textFill>
            <w14:solidFill>
              <w14:schemeClr w14:val="tx1"/>
            </w14:solidFill>
          </w14:textFill>
        </w:rPr>
      </w:pPr>
      <w:r>
        <w:rPr>
          <w:rFonts w:ascii="Times New Roman" w:hAnsi="Times New Roman" w:eastAsia="楷体_GB2312" w:cs="Times New Roman"/>
          <w:b/>
          <w:bCs/>
          <w:color w:val="000000" w:themeColor="text1"/>
          <w:kern w:val="2"/>
          <w:sz w:val="32"/>
          <w:szCs w:val="32"/>
          <w14:textFill>
            <w14:solidFill>
              <w14:schemeClr w14:val="tx1"/>
            </w14:solidFill>
          </w14:textFill>
        </w:rPr>
        <w:t>（二）技术指标参数</w:t>
      </w:r>
    </w:p>
    <w:p>
      <w:pPr>
        <w:adjustRightInd w:val="0"/>
        <w:snapToGrid w:val="0"/>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1.</w:t>
      </w:r>
      <w:r>
        <w:rPr>
          <w:rFonts w:ascii="仿宋" w:hAnsi="仿宋" w:eastAsia="仿宋" w:cs="仿宋"/>
          <w:color w:val="000000" w:themeColor="text1"/>
          <w:sz w:val="32"/>
          <w:szCs w:val="32"/>
          <w14:textFill>
            <w14:solidFill>
              <w14:schemeClr w14:val="tx1"/>
            </w14:solidFill>
          </w14:textFill>
        </w:rPr>
        <w:t>针对发酵芥菜对品质性状的要求，收集不少于100份叶用芥菜种质资源，并完成相关农艺性状的鉴定与关键营养品质的测定，选育4</w:t>
      </w:r>
      <w:r>
        <w:rPr>
          <w:rFonts w:hint="eastAsia" w:ascii="Times New Roman" w:hAnsi="Times New Roman" w:eastAsia="仿宋" w:cs="Times New Roman"/>
          <w:color w:val="000000" w:themeColor="text1"/>
          <w:sz w:val="32"/>
          <w:szCs w:val="32"/>
          <w:lang w:val="en-US" w:eastAsia="zh-CN"/>
          <w14:textFill>
            <w14:solidFill>
              <w14:schemeClr w14:val="tx1"/>
            </w14:solidFill>
          </w14:textFill>
        </w:rPr>
        <w:t>-</w:t>
      </w:r>
      <w:r>
        <w:rPr>
          <w:rFonts w:ascii="仿宋" w:hAnsi="仿宋" w:eastAsia="仿宋" w:cs="仿宋"/>
          <w:color w:val="000000" w:themeColor="text1"/>
          <w:sz w:val="32"/>
          <w:szCs w:val="32"/>
          <w14:textFill>
            <w14:solidFill>
              <w14:schemeClr w14:val="tx1"/>
            </w14:solidFill>
          </w14:textFill>
        </w:rPr>
        <w:t>5个适宜加工的叶用芥菜优质品种；</w:t>
      </w:r>
    </w:p>
    <w:p>
      <w:pPr>
        <w:adjustRightInd w:val="0"/>
        <w:snapToGrid w:val="0"/>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2.</w:t>
      </w:r>
      <w:r>
        <w:rPr>
          <w:rFonts w:ascii="仿宋" w:hAnsi="仿宋" w:eastAsia="仿宋" w:cs="仿宋"/>
          <w:color w:val="000000" w:themeColor="text1"/>
          <w:sz w:val="32"/>
          <w:szCs w:val="32"/>
          <w14:textFill>
            <w14:solidFill>
              <w14:schemeClr w14:val="tx1"/>
            </w14:solidFill>
          </w14:textFill>
        </w:rPr>
        <w:t>基于遗传转化或远缘杂交，获得3</w:t>
      </w:r>
      <w:r>
        <w:rPr>
          <w:rFonts w:ascii="Times New Roman" w:hAnsi="Times New Roman" w:eastAsia="仿宋" w:cs="Times New Roman"/>
          <w:color w:val="000000" w:themeColor="text1"/>
          <w:sz w:val="32"/>
          <w:szCs w:val="32"/>
          <w14:textFill>
            <w14:solidFill>
              <w14:schemeClr w14:val="tx1"/>
            </w14:solidFill>
          </w14:textFill>
        </w:rPr>
        <w:t>~</w:t>
      </w:r>
      <w:r>
        <w:rPr>
          <w:rFonts w:ascii="仿宋" w:hAnsi="仿宋" w:eastAsia="仿宋" w:cs="仿宋"/>
          <w:color w:val="000000" w:themeColor="text1"/>
          <w:sz w:val="32"/>
          <w:szCs w:val="32"/>
          <w14:textFill>
            <w14:solidFill>
              <w14:schemeClr w14:val="tx1"/>
            </w14:solidFill>
          </w14:textFill>
        </w:rPr>
        <w:t>5个抗根肿病的芥菜种质材料；</w:t>
      </w:r>
    </w:p>
    <w:p>
      <w:pPr>
        <w:adjustRightInd w:val="0"/>
        <w:snapToGrid w:val="0"/>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3.</w:t>
      </w:r>
      <w:r>
        <w:rPr>
          <w:rFonts w:ascii="仿宋" w:hAnsi="仿宋" w:eastAsia="仿宋" w:cs="仿宋"/>
          <w:color w:val="000000" w:themeColor="text1"/>
          <w:sz w:val="32"/>
          <w:szCs w:val="32"/>
          <w14:textFill>
            <w14:solidFill>
              <w14:schemeClr w14:val="tx1"/>
            </w14:solidFill>
          </w14:textFill>
        </w:rPr>
        <w:t>建立一套包括腌制预处理技术、发酵菌株筛选及二次发酵技术升级的标准化生产技术规程，实现发酵效率提升40%，发酵周期缩短至48小时。</w:t>
      </w:r>
    </w:p>
    <w:p>
      <w:pPr>
        <w:adjustRightInd w:val="0"/>
        <w:snapToGrid w:val="0"/>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4.</w:t>
      </w:r>
      <w:r>
        <w:rPr>
          <w:rFonts w:ascii="仿宋" w:hAnsi="仿宋" w:eastAsia="仿宋" w:cs="仿宋"/>
          <w:color w:val="000000" w:themeColor="text1"/>
          <w:sz w:val="32"/>
          <w:szCs w:val="32"/>
          <w14:textFill>
            <w14:solidFill>
              <w14:schemeClr w14:val="tx1"/>
            </w14:solidFill>
          </w14:textFill>
        </w:rPr>
        <w:t>公司新增销售收入1200万元，推广蔬菜品种面积2万亩，带动就业40人</w:t>
      </w:r>
      <w:r>
        <w:rPr>
          <w:rFonts w:hint="eastAsia" w:ascii="仿宋" w:hAnsi="仿宋" w:eastAsia="仿宋" w:cs="仿宋"/>
          <w:color w:val="000000" w:themeColor="text1"/>
          <w:sz w:val="32"/>
          <w:szCs w:val="32"/>
          <w14:textFill>
            <w14:solidFill>
              <w14:schemeClr w14:val="tx1"/>
            </w14:solidFill>
          </w14:textFill>
        </w:rPr>
        <w:t>。</w:t>
      </w:r>
    </w:p>
    <w:p>
      <w:pPr>
        <w:adjustRightInd w:val="0"/>
        <w:snapToGrid w:val="0"/>
        <w:spacing w:line="560" w:lineRule="exact"/>
        <w:ind w:firstLine="642" w:firstLineChars="200"/>
        <w:rPr>
          <w:rFonts w:ascii="Times New Roman" w:hAnsi="Times New Roman" w:eastAsia="楷体_GB2312" w:cs="Times New Roman"/>
          <w:b/>
          <w:bCs/>
          <w:color w:val="000000" w:themeColor="text1"/>
          <w:kern w:val="2"/>
          <w:sz w:val="32"/>
          <w:szCs w:val="32"/>
          <w14:textFill>
            <w14:solidFill>
              <w14:schemeClr w14:val="tx1"/>
            </w14:solidFill>
          </w14:textFill>
        </w:rPr>
      </w:pPr>
      <w:r>
        <w:rPr>
          <w:rFonts w:ascii="Times New Roman" w:hAnsi="Times New Roman" w:eastAsia="楷体_GB2312" w:cs="Times New Roman"/>
          <w:b/>
          <w:bCs/>
          <w:color w:val="000000" w:themeColor="text1"/>
          <w:kern w:val="2"/>
          <w:sz w:val="32"/>
          <w:szCs w:val="32"/>
          <w14:textFill>
            <w14:solidFill>
              <w14:schemeClr w14:val="tx1"/>
            </w14:solidFill>
          </w14:textFill>
        </w:rPr>
        <w:t>（三）技术攻关时限要求</w:t>
      </w:r>
    </w:p>
    <w:p>
      <w:pPr>
        <w:adjustRightInd w:val="0"/>
        <w:snapToGrid w:val="0"/>
        <w:spacing w:line="560" w:lineRule="exact"/>
        <w:ind w:firstLine="640" w:firstLineChars="200"/>
        <w:rPr>
          <w:rFonts w:ascii="仿宋_GB2312" w:hAnsi="仿宋_GB2312" w:eastAsia="仿宋_GB2312" w:cs="仿宋_GB2312"/>
          <w:color w:val="000000" w:themeColor="text1"/>
          <w:kern w:val="2"/>
          <w:sz w:val="32"/>
          <w:szCs w:val="32"/>
          <w14:textFill>
            <w14:solidFill>
              <w14:schemeClr w14:val="tx1"/>
            </w14:solidFill>
          </w14:textFill>
        </w:rPr>
      </w:pPr>
      <w:r>
        <w:rPr>
          <w:rFonts w:hint="eastAsia" w:ascii="仿宋_GB2312" w:hAnsi="仿宋_GB2312" w:eastAsia="仿宋_GB2312" w:cs="仿宋_GB2312"/>
          <w:color w:val="000000" w:themeColor="text1"/>
          <w:kern w:val="2"/>
          <w:sz w:val="32"/>
          <w:szCs w:val="32"/>
          <w14:textFill>
            <w14:solidFill>
              <w14:schemeClr w14:val="tx1"/>
            </w14:solidFill>
          </w14:textFill>
        </w:rPr>
        <w:t>在揭榜协议及任务书签订后2年内完成。</w:t>
      </w:r>
    </w:p>
    <w:p>
      <w:pPr>
        <w:adjustRightInd w:val="0"/>
        <w:snapToGrid w:val="0"/>
        <w:spacing w:line="560" w:lineRule="exact"/>
        <w:ind w:firstLine="640" w:firstLineChars="200"/>
        <w:rPr>
          <w:rFonts w:ascii="Times New Roman" w:hAnsi="Times New Roman" w:eastAsia="黑体" w:cs="Times New Roman"/>
          <w:color w:val="000000" w:themeColor="text1"/>
          <w:kern w:val="2"/>
          <w:sz w:val="32"/>
          <w:szCs w:val="32"/>
          <w14:textFill>
            <w14:solidFill>
              <w14:schemeClr w14:val="tx1"/>
            </w14:solidFill>
          </w14:textFill>
        </w:rPr>
      </w:pPr>
      <w:r>
        <w:rPr>
          <w:rFonts w:ascii="Times New Roman" w:hAnsi="Times New Roman" w:eastAsia="黑体" w:cs="Times New Roman"/>
          <w:color w:val="000000" w:themeColor="text1"/>
          <w:kern w:val="2"/>
          <w:sz w:val="32"/>
          <w:szCs w:val="32"/>
          <w14:textFill>
            <w14:solidFill>
              <w14:schemeClr w14:val="tx1"/>
            </w14:solidFill>
          </w14:textFill>
        </w:rPr>
        <w:t>六、对揭榜方要求</w:t>
      </w:r>
    </w:p>
    <w:p>
      <w:pPr>
        <w:adjustRightInd w:val="0"/>
        <w:snapToGrid w:val="0"/>
        <w:spacing w:line="560" w:lineRule="exact"/>
        <w:ind w:firstLine="642" w:firstLineChars="200"/>
        <w:rPr>
          <w:rFonts w:ascii="Times New Roman" w:hAnsi="Times New Roman" w:eastAsia="楷体_GB2312" w:cs="Times New Roman"/>
          <w:b/>
          <w:bCs/>
          <w:color w:val="000000" w:themeColor="text1"/>
          <w:kern w:val="2"/>
          <w:sz w:val="32"/>
          <w:szCs w:val="32"/>
          <w14:textFill>
            <w14:solidFill>
              <w14:schemeClr w14:val="tx1"/>
            </w14:solidFill>
          </w14:textFill>
        </w:rPr>
      </w:pPr>
      <w:r>
        <w:rPr>
          <w:rFonts w:ascii="Times New Roman" w:hAnsi="Times New Roman" w:eastAsia="楷体_GB2312" w:cs="Times New Roman"/>
          <w:b/>
          <w:bCs/>
          <w:color w:val="000000" w:themeColor="text1"/>
          <w:kern w:val="2"/>
          <w:sz w:val="32"/>
          <w:szCs w:val="32"/>
          <w14:textFill>
            <w14:solidFill>
              <w14:schemeClr w14:val="tx1"/>
            </w14:solidFill>
          </w14:textFill>
        </w:rPr>
        <w:t>（一）揭榜方应具有以下资质和能力</w:t>
      </w:r>
    </w:p>
    <w:p>
      <w:pPr>
        <w:pStyle w:val="10"/>
        <w:adjustRightInd w:val="0"/>
        <w:snapToGrid w:val="0"/>
        <w:spacing w:line="560" w:lineRule="exact"/>
        <w:ind w:right="218" w:rightChars="91" w:firstLine="640"/>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揭榜方在白菜类蔬菜育种方面具备相关研究基础</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揭榜方牵头人应具备高级职称</w:t>
      </w:r>
      <w:r>
        <w:rPr>
          <w:rFonts w:hint="eastAsia" w:ascii="仿宋" w:hAnsi="仿宋" w:eastAsia="仿宋" w:cs="仿宋"/>
          <w:color w:val="000000" w:themeColor="text1"/>
          <w:sz w:val="32"/>
          <w:szCs w:val="32"/>
          <w:lang w:eastAsia="zh-CN"/>
          <w14:textFill>
            <w14:solidFill>
              <w14:schemeClr w14:val="tx1"/>
            </w14:solidFill>
          </w14:textFill>
        </w:rPr>
        <w:t>。</w:t>
      </w:r>
    </w:p>
    <w:p>
      <w:pPr>
        <w:adjustRightInd w:val="0"/>
        <w:snapToGrid w:val="0"/>
        <w:spacing w:line="560" w:lineRule="exact"/>
        <w:ind w:firstLine="642" w:firstLineChars="200"/>
        <w:rPr>
          <w:rFonts w:ascii="Times New Roman" w:hAnsi="Times New Roman" w:eastAsia="楷体_GB2312" w:cs="Times New Roman"/>
          <w:b/>
          <w:bCs/>
          <w:color w:val="000000" w:themeColor="text1"/>
          <w:kern w:val="2"/>
          <w:sz w:val="32"/>
          <w:szCs w:val="32"/>
          <w14:textFill>
            <w14:solidFill>
              <w14:schemeClr w14:val="tx1"/>
            </w14:solidFill>
          </w14:textFill>
        </w:rPr>
      </w:pPr>
      <w:r>
        <w:rPr>
          <w:rFonts w:ascii="Times New Roman" w:hAnsi="Times New Roman" w:eastAsia="楷体_GB2312" w:cs="Times New Roman"/>
          <w:b/>
          <w:bCs/>
          <w:color w:val="000000" w:themeColor="text1"/>
          <w:kern w:val="2"/>
          <w:sz w:val="32"/>
          <w:szCs w:val="32"/>
          <w14:textFill>
            <w14:solidFill>
              <w14:schemeClr w14:val="tx1"/>
            </w14:solidFill>
          </w14:textFill>
        </w:rPr>
        <w:t>（二）产权归属</w:t>
      </w:r>
    </w:p>
    <w:p>
      <w:pPr>
        <w:adjustRightInd w:val="0"/>
        <w:snapToGrid w:val="0"/>
        <w:spacing w:line="560" w:lineRule="exact"/>
        <w:ind w:firstLine="640" w:firstLineChars="200"/>
        <w:rPr>
          <w:color w:val="000000" w:themeColor="text1"/>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项目所取得的专利、标准等知识产权归企业所有，揭榜方成员拥有署名权；项目取得的植物新品种、论文等成果归揭榜方所有，但项目发表的相关学术论文和植物新品种登记需取得企业许可，署名由双方协商确定。项目需要的原材料及试验所用试验基地，由发榜企业提供。</w:t>
      </w:r>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方正细黑一_GBK"/>
    <w:panose1 w:val="00000000000000000000"/>
    <w:charset w:val="86"/>
    <w:family w:val="auto"/>
    <w:pitch w:val="default"/>
    <w:sig w:usb0="00000000" w:usb1="00000000" w:usb2="00000000" w:usb3="00000000" w:csb0="00000000" w:csb1="00000000"/>
  </w:font>
  <w:font w:name="等线">
    <w:altName w:val="Quicksand Light"/>
    <w:panose1 w:val="00000000000000000000"/>
    <w:charset w:val="00"/>
    <w:family w:val="auto"/>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2010609030101010101"/>
    <w:charset w:val="86"/>
    <w:family w:val="modern"/>
    <w:pitch w:val="default"/>
    <w:sig w:usb0="00000000" w:usb1="00000000" w:usb2="00000010" w:usb3="00000000" w:csb0="00040000" w:csb1="00000000"/>
  </w:font>
  <w:font w:name="Quicksand Light">
    <w:panose1 w:val="00000400000000000000"/>
    <w:charset w:val="00"/>
    <w:family w:val="auto"/>
    <w:pitch w:val="default"/>
    <w:sig w:usb0="2000000F" w:usb1="00000001" w:usb2="00000000" w:usb3="00000000" w:csb0="20000193"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细黑一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hMGEwYTJhYjYxMzJiZTQ0ZTVmOGQyOWQ3Yzc4NWEifQ=="/>
  </w:docVars>
  <w:rsids>
    <w:rsidRoot w:val="00F771B1"/>
    <w:rsid w:val="00084AD6"/>
    <w:rsid w:val="001E34AC"/>
    <w:rsid w:val="00292791"/>
    <w:rsid w:val="003F3A9F"/>
    <w:rsid w:val="003F4909"/>
    <w:rsid w:val="003F5704"/>
    <w:rsid w:val="00490E6E"/>
    <w:rsid w:val="0055023B"/>
    <w:rsid w:val="006F2559"/>
    <w:rsid w:val="008213B7"/>
    <w:rsid w:val="00846936"/>
    <w:rsid w:val="00AC52C4"/>
    <w:rsid w:val="00AF62F1"/>
    <w:rsid w:val="00C70B55"/>
    <w:rsid w:val="00CA49E2"/>
    <w:rsid w:val="00D20E11"/>
    <w:rsid w:val="00D7138F"/>
    <w:rsid w:val="00F771B1"/>
    <w:rsid w:val="27FF0134"/>
    <w:rsid w:val="2F7EFDFB"/>
    <w:rsid w:val="37DE5C64"/>
    <w:rsid w:val="3BEE77A5"/>
    <w:rsid w:val="3F3F54CF"/>
    <w:rsid w:val="3FFF49F7"/>
    <w:rsid w:val="4FEE8915"/>
    <w:rsid w:val="5EA75EFF"/>
    <w:rsid w:val="7BD3439D"/>
    <w:rsid w:val="BEF4DAD2"/>
    <w:rsid w:val="CBFF879B"/>
    <w:rsid w:val="D3D795E7"/>
    <w:rsid w:val="DBBF67D2"/>
    <w:rsid w:val="FDFF2B5A"/>
    <w:rsid w:val="FFAFE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color w:val="000000"/>
      <w:sz w:val="24"/>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NormalCharacter"/>
    <w:semiHidden/>
    <w:qFormat/>
    <w:uiPriority w:val="0"/>
    <w:rPr>
      <w:rFonts w:ascii="Calibri" w:hAnsi="Calibri"/>
      <w:kern w:val="2"/>
      <w:sz w:val="21"/>
      <w:szCs w:val="24"/>
      <w:lang w:val="en-US" w:eastAsia="zh-CN" w:bidi="ar-SA"/>
    </w:rPr>
  </w:style>
  <w:style w:type="paragraph" w:styleId="10">
    <w:name w:val="List Paragraph"/>
    <w:basedOn w:val="1"/>
    <w:unhideWhenUsed/>
    <w:qFormat/>
    <w:uiPriority w:val="99"/>
    <w:pPr>
      <w:ind w:firstLine="420" w:firstLineChars="200"/>
    </w:pPr>
  </w:style>
  <w:style w:type="paragraph" w:customStyle="1" w:styleId="11">
    <w:name w:val="Revision"/>
    <w:hidden/>
    <w:unhideWhenUsed/>
    <w:qFormat/>
    <w:uiPriority w:val="99"/>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298</Words>
  <Characters>1701</Characters>
  <Lines>14</Lines>
  <Paragraphs>3</Paragraphs>
  <TotalTime>0</TotalTime>
  <ScaleCrop>false</ScaleCrop>
  <LinksUpToDate>false</LinksUpToDate>
  <CharactersWithSpaces>1996</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2024-03-20T11:30:00Z</dcterms:created>
  <dc:creator>志峰 陈</dc:creator>
  <cp:lastModifiedBy>ysgz</cp:lastModifiedBy>
  <dcterms:modified xsi:type="dcterms:W3CDTF">2024-04-19T11:46:11Z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C3EA62449D5542E589EC9AE805660CA5_12</vt:lpwstr>
  </property>
</Properties>
</file>