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default" w:ascii="方正小标宋简体" w:hAnsi="黑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黑体" w:eastAsia="方正小标宋简体" w:cs="方正小标宋简体"/>
          <w:b w:val="0"/>
          <w:bCs/>
          <w:sz w:val="36"/>
          <w:szCs w:val="36"/>
        </w:rPr>
        <w:t>省教育厅“百校千企科技攻关揭榜挂帅榜单”</w:t>
      </w:r>
      <w:r>
        <w:rPr>
          <w:rFonts w:hint="eastAsia" w:ascii="方正小标宋简体" w:hAnsi="黑体" w:eastAsia="方正小标宋简体" w:cs="方正小标宋简体"/>
          <w:b w:val="0"/>
          <w:bCs/>
          <w:sz w:val="36"/>
          <w:szCs w:val="36"/>
          <w:lang w:val="en-US" w:eastAsia="zh-CN"/>
        </w:rPr>
        <w:t>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方正小标宋简体"/>
          <w:b w:val="0"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一、技术需求名称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Style w:val="8"/>
          <w:rFonts w:ascii="Times New Roman" w:hAnsi="Times New Roman" w:eastAsia="仿宋" w:cs="Times New Roman"/>
          <w:sz w:val="32"/>
          <w:szCs w:val="32"/>
        </w:rPr>
        <w:t>辣椒干高效防虫、防霉变仓储及</w:t>
      </w:r>
      <w:r>
        <w:rPr>
          <w:rStyle w:val="8"/>
          <w:rFonts w:hint="eastAsia" w:ascii="Times New Roman" w:hAnsi="Times New Roman" w:eastAsia="仿宋" w:cs="Times New Roman"/>
          <w:sz w:val="32"/>
          <w:szCs w:val="32"/>
        </w:rPr>
        <w:t>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辣椒+”预制</w:t>
      </w:r>
      <w:r>
        <w:rPr>
          <w:rStyle w:val="8"/>
          <w:rFonts w:ascii="Times New Roman" w:hAnsi="Times New Roman" w:eastAsia="仿宋" w:cs="Times New Roman"/>
          <w:sz w:val="32"/>
          <w:szCs w:val="32"/>
        </w:rPr>
        <w:t>菜加工关键技术开发与示范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二、技术需求企业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仿宋" w:cs="Times New Roman"/>
          <w:kern w:val="2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遵义红满坡农业发展有限公司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三、需求方简介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遵义红满坡农业发展有限公司成立于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2016</w:t>
      </w: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年，是一家以市场为导向，以经济效益为中心，以辣椒产业为重点，集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“</w:t>
      </w: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产供销、贸工农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”</w:t>
      </w: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为一体的现代农业产业化企业。主要从事辣椒的订单种植、研发定制、检验检测、产品加工、仓储冷藏、贸易流通、进出口等业务，与餐饮火锅连锁头部企业（海底捞、德庄、呷哺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呷哺等）建立了紧密的合作关系，全省发展辣椒订单种植基地5.3万亩、全国共计10万亩。2021被省农业厅评为农业产业化省级重点龙头企业，被农业</w:t>
      </w: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部认定为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“</w:t>
      </w: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全国农业信息化示范基地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”</w:t>
      </w:r>
      <w:r>
        <w:rPr>
          <w:rFonts w:ascii="Times New Roman" w:hAnsi="Times New Roman" w:eastAsia="仿宋" w:cs="Times New Roman"/>
          <w:color w:val="auto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四、技术需求描述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</w:rPr>
        <w:t>一</w:t>
      </w: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）</w:t>
      </w:r>
      <w:r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</w:rPr>
        <w:t>技术难题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Times New Roman" w:hAnsi="Times New Roman" w:eastAsia="仿宋" w:cs="Times New Roman"/>
          <w:sz w:val="32"/>
          <w:szCs w:val="32"/>
        </w:rPr>
        <w:t>辣椒干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仓储技术问题：公司生产的辣椒干产品，在供应市场后，常温流通、货架2~3个月，就会出现霉变、虫害、褪色等现象，此外每年的低温仓储能耗费高达780万余元；现阶段亟需解决辣椒干防霉、防虫技术，低能耗储藏工艺技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Style w:val="8"/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“辣椒+”预制菜精深加工技术问题：现有预制菜产品存在高盐（钠）的食品</w:t>
      </w:r>
      <w:r>
        <w:rPr>
          <w:rStyle w:val="8"/>
          <w:rFonts w:hint="eastAsia" w:ascii="Times New Roman" w:hAnsi="Times New Roman" w:eastAsia="仿宋" w:cs="Times New Roman"/>
          <w:sz w:val="32"/>
          <w:szCs w:val="32"/>
        </w:rPr>
        <w:t>健康问题，给销售和产品形象造成了极大的影响。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</w:rPr>
        <w:t>二</w:t>
      </w: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）攻关内容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1.针对目前辣椒干燥后须经冷库低温仓储，耗能大，且出库后极易出现霉变、虫害、褪色等问题，通过微波干燥联合气体微环境储藏技术解决上述产业瓶颈问题，同时降低仓储10%的总体成本；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2.针对目前“辣椒+”预制菜产品存在高盐（钠）问题，采用钠盐替代、风</w:t>
      </w:r>
      <w:r>
        <w:rPr>
          <w:rFonts w:hint="eastAsia" w:ascii="Times New Roman" w:hAnsi="Times New Roman" w:eastAsia="仿宋" w:cs="Times New Roman"/>
          <w:sz w:val="32"/>
          <w:szCs w:val="32"/>
        </w:rPr>
        <w:t>味保持等技术，提高产品健康度，从而增加预制菜产品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20%效</w:t>
      </w:r>
      <w:r>
        <w:rPr>
          <w:rFonts w:hint="eastAsia" w:ascii="Times New Roman" w:hAnsi="Times New Roman" w:eastAsia="仿宋" w:cs="Times New Roman"/>
          <w:sz w:val="32"/>
          <w:szCs w:val="32"/>
        </w:rPr>
        <w:t>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五、考核指标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Style w:val="8"/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（一）研发目标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1.围绕传统辣椒干易受虫害和霉变、仓储技术落后、能耗高问题，形成低能耗仓储辣椒干技术工艺1套，发布相关的团体标准1个及企业标准2个；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2.针对现有预制菜产品（火锅底料、调味品）存在高盐（钠）的食品健康问题，形成数字化、绿色清洁预制菜（火锅底料、调味品）低盐（钠）加工技术1套；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3.培训相关技术人员300人次，所形成的技术辐射6家企业或合作社，仓储能耗降低30%以上；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4.合同期内，干辣椒制品、预制菜销售额达到1.5亿元人民币，税收80万元。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（二）技术指标参数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1.辣椒干储藏整体能耗降低50%以上；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2.辣椒干仓储90天后进入市场流通、货架（30天），虫害发生率低于10%，霉变发生率低于10%，色泽变化≤10%；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3.通过预制化技术，在保证口感不变的前提下，降低现有预制菜（火锅底料、调味品）含钠量20%以上，新增年产3000吨辣椒产品产能。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（三）技术攻关时限要求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仿宋_GB2312" w:cs="Times New Roman"/>
          <w:color w:val="FF0000"/>
          <w:kern w:val="2"/>
          <w:sz w:val="32"/>
          <w:szCs w:val="32"/>
        </w:rPr>
      </w:pP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在揭榜协议及任务书签订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后2年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六、对揭榜方要求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（一）揭榜方应具有以下资质和能力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揭榜方在农产品贮藏和加工方面具备相关研究基础。揭榜方牵头人应具备高级职称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2" w:firstLineChars="200"/>
        <w:textAlignment w:val="auto"/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（二）产权归属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揭榜方和需求方通过技术成果转化所得的各项知识产权或研究成果，取得的学术论文等知识产权，可以由揭榜方署名，所有权归双方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共同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所有。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left"/>
      <w:rPr>
        <w:rFonts w:ascii="Times New Roman" w:hAnsi="Times New Roman" w:cs="Times New Roman"/>
        <w:kern w:val="2"/>
        <w:sz w:val="18"/>
      </w:rPr>
    </w:pPr>
    <w:r>
      <w:rPr>
        <w:rFonts w:ascii="Times New Roman" w:hAnsi="Times New Roman" w:cs="Times New Roman"/>
        <w:kern w:val="2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190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WAAAAZHJzL1BLAQIUABQAAAAIAIdO4kDw9kx90QAAAAMBAAAPAAAAAAAAAAEAIAAAADgA&#10;AABkcnMvZG93bnJldi54bWxQSwECFAAUAAAACACHTuJAoCT6G/oBAADPAwAADgAAAAAAAAABACAA&#10;AAA2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</w:pP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rPr>
        <w:rFonts w:ascii="Times New Roman" w:hAnsi="Times New Roman" w:cs="Times New Roman"/>
        <w:kern w:val="2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hMGEwYTJhYjYxMzJiZTQ0ZTVmOGQyOWQ3Yzc4NWEifQ=="/>
  </w:docVars>
  <w:rsids>
    <w:rsidRoot w:val="009C75EC"/>
    <w:rsid w:val="00046A58"/>
    <w:rsid w:val="00051546"/>
    <w:rsid w:val="00083DDF"/>
    <w:rsid w:val="000E68F7"/>
    <w:rsid w:val="00140ED1"/>
    <w:rsid w:val="001F20B3"/>
    <w:rsid w:val="002A06D6"/>
    <w:rsid w:val="002A503A"/>
    <w:rsid w:val="003044AD"/>
    <w:rsid w:val="00355373"/>
    <w:rsid w:val="003B2F24"/>
    <w:rsid w:val="003C6052"/>
    <w:rsid w:val="004C06D1"/>
    <w:rsid w:val="005B603D"/>
    <w:rsid w:val="006A6B87"/>
    <w:rsid w:val="0073168B"/>
    <w:rsid w:val="00825F51"/>
    <w:rsid w:val="00830258"/>
    <w:rsid w:val="00854D3D"/>
    <w:rsid w:val="00933B88"/>
    <w:rsid w:val="009C75EC"/>
    <w:rsid w:val="00AE18EA"/>
    <w:rsid w:val="00BE7F2D"/>
    <w:rsid w:val="00C534D0"/>
    <w:rsid w:val="00D239C9"/>
    <w:rsid w:val="00D27221"/>
    <w:rsid w:val="00DB4D96"/>
    <w:rsid w:val="00DC58E8"/>
    <w:rsid w:val="00E161D1"/>
    <w:rsid w:val="00E21AB4"/>
    <w:rsid w:val="00E34504"/>
    <w:rsid w:val="00EC4247"/>
    <w:rsid w:val="00F06E69"/>
    <w:rsid w:val="00F229E0"/>
    <w:rsid w:val="00FF4040"/>
    <w:rsid w:val="15DB35DD"/>
    <w:rsid w:val="175E0D26"/>
    <w:rsid w:val="1790019C"/>
    <w:rsid w:val="1C231A28"/>
    <w:rsid w:val="230E75B5"/>
    <w:rsid w:val="29F60A01"/>
    <w:rsid w:val="2A7C27D9"/>
    <w:rsid w:val="2DC046A1"/>
    <w:rsid w:val="2FFD4C64"/>
    <w:rsid w:val="30DA5678"/>
    <w:rsid w:val="35EC5749"/>
    <w:rsid w:val="37F63395"/>
    <w:rsid w:val="3BFC2434"/>
    <w:rsid w:val="407E7B8C"/>
    <w:rsid w:val="479E3B1A"/>
    <w:rsid w:val="4E0D5157"/>
    <w:rsid w:val="55AC37E9"/>
    <w:rsid w:val="590C4A99"/>
    <w:rsid w:val="5FF7D630"/>
    <w:rsid w:val="66C52AB3"/>
    <w:rsid w:val="6E7845B3"/>
    <w:rsid w:val="75F8394F"/>
    <w:rsid w:val="E8DF5031"/>
    <w:rsid w:val="EFDD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color w:val="auto"/>
      <w:lang w:eastAsia="en-US"/>
    </w:rPr>
  </w:style>
  <w:style w:type="character" w:customStyle="1" w:styleId="8">
    <w:name w:val="NormalCharacter"/>
    <w:semiHidden/>
    <w:qFormat/>
    <w:uiPriority w:val="0"/>
    <w:rPr>
      <w:rFonts w:ascii="Calibri" w:hAnsi="Calibri"/>
      <w:kern w:val="2"/>
      <w:sz w:val="21"/>
      <w:szCs w:val="24"/>
      <w:lang w:val="en-US" w:eastAsia="zh-CN" w:bidi="ar-SA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列出段落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页眉 字符"/>
    <w:basedOn w:val="6"/>
    <w:link w:val="4"/>
    <w:qFormat/>
    <w:uiPriority w:val="99"/>
    <w:rPr>
      <w:rFonts w:ascii="宋体" w:hAnsi="宋体" w:cs="宋体"/>
      <w:color w:val="000000"/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rFonts w:ascii="宋体" w:hAnsi="宋体" w:cs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</Words>
  <Characters>1135</Characters>
  <Lines>9</Lines>
  <Paragraphs>2</Paragraphs>
  <TotalTime>8</TotalTime>
  <ScaleCrop>false</ScaleCrop>
  <LinksUpToDate>false</LinksUpToDate>
  <CharactersWithSpaces>1331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2024-03-20T09:34:00Z</dcterms:created>
  <dc:creator>马春丽</dc:creator>
  <cp:lastModifiedBy>ysgz</cp:lastModifiedBy>
  <dcterms:modified xsi:type="dcterms:W3CDTF">2024-04-19T11:48:09Z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1952CE7F4C644DD581850F638E8C3A15_13</vt:lpwstr>
  </property>
</Properties>
</file>