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eastAsia" w:ascii="Times New Roman" w:hAnsi="Times New Roman" w:eastAsia="方正小标宋简体" w:cs="Times New Roman"/>
          <w:kern w:val="2"/>
          <w:sz w:val="32"/>
          <w:szCs w:val="20"/>
          <w:lang w:val="en-US" w:eastAsia="zh-CN"/>
        </w:rPr>
      </w:pPr>
      <w:bookmarkStart w:id="0" w:name="_GoBack"/>
      <w:r>
        <w:rPr>
          <w:rFonts w:hint="eastAsia" w:ascii="方正小标宋简体" w:hAnsi="黑体" w:eastAsia="方正小标宋简体" w:cs="方正小标宋简体"/>
          <w:sz w:val="36"/>
          <w:szCs w:val="36"/>
        </w:rPr>
        <w:t>省教育厅“百校千企科技攻关揭榜挂帅榜单”</w:t>
      </w:r>
      <w:r>
        <w:rPr>
          <w:rFonts w:hint="eastAsia" w:ascii="方正小标宋简体" w:hAnsi="黑体" w:eastAsia="方正小标宋简体" w:cs="方正小标宋简体"/>
          <w:sz w:val="36"/>
          <w:szCs w:val="36"/>
          <w:lang w:val="en-US" w:eastAsia="zh-CN"/>
        </w:rPr>
        <w:t>3</w:t>
      </w:r>
    </w:p>
    <w:p>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ascii="Times New Roman" w:hAnsi="Times New Roman" w:eastAsia="黑体" w:cs="Times New Roman"/>
          <w:kern w:val="2"/>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黑体" w:cs="Times New Roman"/>
          <w:kern w:val="2"/>
          <w:sz w:val="32"/>
          <w:szCs w:val="32"/>
        </w:rPr>
      </w:pPr>
      <w:r>
        <w:rPr>
          <w:rFonts w:ascii="Times New Roman" w:hAnsi="Times New Roman" w:eastAsia="黑体" w:cs="Times New Roman"/>
          <w:kern w:val="2"/>
          <w:sz w:val="32"/>
          <w:szCs w:val="32"/>
        </w:rPr>
        <w:t>一、技术需求名称</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黑体" w:cs="Times New Roman"/>
          <w:kern w:val="2"/>
          <w:sz w:val="32"/>
          <w:szCs w:val="32"/>
          <w:lang w:val="en-US"/>
        </w:rPr>
      </w:pPr>
      <w:r>
        <w:rPr>
          <w:rStyle w:val="9"/>
          <w:rFonts w:hint="eastAsia" w:ascii="仿宋" w:hAnsi="仿宋" w:eastAsia="仿宋" w:cs="仿宋"/>
          <w:sz w:val="32"/>
          <w:szCs w:val="32"/>
        </w:rPr>
        <w:t>TC2</w:t>
      </w:r>
      <w:r>
        <w:rPr>
          <w:rStyle w:val="9"/>
          <w:rFonts w:ascii="Times New Roman" w:hAnsi="Times New Roman" w:eastAsia="仿宋" w:cs="Times New Roman"/>
          <w:sz w:val="32"/>
          <w:szCs w:val="32"/>
        </w:rPr>
        <w:t>机匣环件端面低倍粗晶控制</w:t>
      </w:r>
      <w:r>
        <w:rPr>
          <w:rStyle w:val="9"/>
          <w:rFonts w:hint="eastAsia" w:ascii="Times New Roman" w:hAnsi="Times New Roman" w:eastAsia="仿宋" w:cs="Times New Roman"/>
          <w:sz w:val="32"/>
          <w:szCs w:val="32"/>
          <w:lang w:val="en-US"/>
        </w:rPr>
        <w:t>技术及应用</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黑体" w:cs="Times New Roman"/>
          <w:kern w:val="2"/>
          <w:sz w:val="32"/>
          <w:szCs w:val="32"/>
        </w:rPr>
      </w:pPr>
      <w:r>
        <w:rPr>
          <w:rFonts w:ascii="Times New Roman" w:hAnsi="Times New Roman" w:eastAsia="黑体" w:cs="Times New Roman"/>
          <w:kern w:val="2"/>
          <w:sz w:val="32"/>
          <w:szCs w:val="32"/>
        </w:rPr>
        <w:t>二、技术需求企业</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仿宋" w:cs="Times New Roman"/>
          <w:kern w:val="2"/>
          <w:sz w:val="32"/>
          <w:szCs w:val="32"/>
        </w:rPr>
      </w:pPr>
      <w:r>
        <w:rPr>
          <w:rFonts w:ascii="Times New Roman" w:hAnsi="Times New Roman" w:eastAsia="仿宋" w:cs="Times New Roman"/>
          <w:sz w:val="32"/>
          <w:szCs w:val="32"/>
        </w:rPr>
        <w:t>贵州安大航空锻造有限责任公司</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黑体" w:cs="Times New Roman"/>
          <w:kern w:val="2"/>
          <w:sz w:val="32"/>
          <w:szCs w:val="32"/>
        </w:rPr>
      </w:pPr>
      <w:r>
        <w:rPr>
          <w:rFonts w:ascii="Times New Roman" w:hAnsi="Times New Roman" w:eastAsia="黑体" w:cs="Times New Roman"/>
          <w:kern w:val="2"/>
          <w:sz w:val="32"/>
          <w:szCs w:val="32"/>
        </w:rPr>
        <w:t>三、需求方简介</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eastAsia="仿宋" w:cs="Times New Roman"/>
          <w:color w:val="auto"/>
          <w:sz w:val="32"/>
          <w:szCs w:val="32"/>
          <w:shd w:val="clear" w:color="auto" w:fill="FFFFFF"/>
        </w:rPr>
      </w:pPr>
      <w:r>
        <w:rPr>
          <w:rFonts w:hint="eastAsia" w:ascii="Times New Roman" w:hAnsi="Times New Roman" w:eastAsia="仿宋" w:cs="Times New Roman"/>
          <w:color w:val="auto"/>
          <w:sz w:val="32"/>
          <w:szCs w:val="32"/>
          <w:shd w:val="clear" w:color="auto" w:fill="FFFFFF"/>
        </w:rPr>
        <w:t>贵州安大航空锻造有限责任公司（简称安大公司）是专门</w:t>
      </w:r>
      <w:r>
        <w:rPr>
          <w:rFonts w:hint="eastAsia" w:ascii="Times New Roman" w:hAnsi="Times New Roman" w:eastAsia="仿宋" w:cs="Times New Roman"/>
          <w:color w:val="auto"/>
          <w:sz w:val="32"/>
          <w:szCs w:val="32"/>
          <w:shd w:val="clear" w:color="auto" w:fill="FFFFFF"/>
          <w:lang w:val="en-US" w:eastAsia="zh-CN"/>
        </w:rPr>
        <w:t>从</w:t>
      </w:r>
      <w:r>
        <w:rPr>
          <w:rFonts w:hint="eastAsia" w:ascii="Times New Roman" w:hAnsi="Times New Roman" w:eastAsia="仿宋" w:cs="Times New Roman"/>
          <w:color w:val="auto"/>
          <w:sz w:val="32"/>
          <w:szCs w:val="32"/>
          <w:shd w:val="clear" w:color="auto" w:fill="FFFFFF"/>
        </w:rPr>
        <w:t>事航空发动机、飞机和燃气轮机锻件生产的专业化企业，拥有自由锻、环轧、等温锻、模锻系列生产线及先进的理化测试手段，完整的质量保证体系。近年来，公司依靠技术创新发展成为具有雄厚技术基础和创新能力较强的航空特种锻造专业化企业，成为了国家高新技术企业、国家首批制造业单项冠军、国家知识产权优势企业、国家技术创新示范企业、省创新型领军企业和省新兴产业龙头企业，建立了国家级企业技术中心、国防科技工业精密锻造与环轧技术创新中心、全国博士后科研工作站、院士工作站及金属材料理化检测国家／国防／</w:t>
      </w:r>
      <w:r>
        <w:rPr>
          <w:rStyle w:val="9"/>
          <w:rFonts w:hint="eastAsia" w:ascii="仿宋" w:hAnsi="仿宋" w:eastAsia="仿宋" w:cs="仿宋"/>
          <w:sz w:val="32"/>
          <w:szCs w:val="32"/>
        </w:rPr>
        <w:t>NADCAP</w:t>
      </w:r>
      <w:r>
        <w:rPr>
          <w:rFonts w:hint="eastAsia" w:ascii="Times New Roman" w:hAnsi="Times New Roman" w:eastAsia="仿宋" w:cs="Times New Roman"/>
          <w:color w:val="auto"/>
          <w:sz w:val="32"/>
          <w:szCs w:val="32"/>
          <w:shd w:val="clear" w:color="auto" w:fill="FFFFFF"/>
        </w:rPr>
        <w:t>实验室等创新平台。现已发展成为了英国</w:t>
      </w:r>
      <w:r>
        <w:rPr>
          <w:rStyle w:val="9"/>
          <w:rFonts w:hint="eastAsia" w:ascii="仿宋" w:hAnsi="仿宋" w:eastAsia="仿宋" w:cs="仿宋"/>
          <w:sz w:val="32"/>
          <w:szCs w:val="32"/>
        </w:rPr>
        <w:t>RR、</w:t>
      </w:r>
      <w:r>
        <w:rPr>
          <w:rFonts w:hint="eastAsia" w:ascii="Times New Roman" w:hAnsi="Times New Roman" w:eastAsia="仿宋" w:cs="Times New Roman"/>
          <w:color w:val="auto"/>
          <w:sz w:val="32"/>
          <w:szCs w:val="32"/>
          <w:shd w:val="clear" w:color="auto" w:fill="FFFFFF"/>
        </w:rPr>
        <w:t>美国</w:t>
      </w:r>
      <w:r>
        <w:rPr>
          <w:rStyle w:val="9"/>
          <w:rFonts w:hint="eastAsia" w:ascii="仿宋" w:hAnsi="仿宋" w:eastAsia="仿宋" w:cs="仿宋"/>
          <w:sz w:val="32"/>
          <w:szCs w:val="32"/>
        </w:rPr>
        <w:t>GE、TIMKEN</w:t>
      </w:r>
      <w:r>
        <w:rPr>
          <w:rFonts w:hint="eastAsia" w:ascii="Times New Roman" w:hAnsi="Times New Roman" w:eastAsia="仿宋" w:cs="Times New Roman"/>
          <w:color w:val="auto"/>
          <w:sz w:val="32"/>
          <w:szCs w:val="32"/>
          <w:shd w:val="clear" w:color="auto" w:fill="FFFFFF"/>
        </w:rPr>
        <w:t>、</w:t>
      </w:r>
      <w:r>
        <w:rPr>
          <w:rStyle w:val="9"/>
          <w:rFonts w:hint="eastAsia" w:ascii="仿宋" w:hAnsi="仿宋" w:eastAsia="仿宋" w:cs="仿宋"/>
          <w:sz w:val="32"/>
          <w:szCs w:val="32"/>
        </w:rPr>
        <w:t>GOODRICH</w:t>
      </w:r>
      <w:r>
        <w:rPr>
          <w:rFonts w:hint="eastAsia" w:ascii="Times New Roman" w:hAnsi="Times New Roman" w:eastAsia="仿宋" w:cs="Times New Roman"/>
          <w:color w:val="auto"/>
          <w:sz w:val="32"/>
          <w:szCs w:val="32"/>
          <w:shd w:val="clear" w:color="auto" w:fill="FFFFFF"/>
        </w:rPr>
        <w:t>、瑞典</w:t>
      </w:r>
      <w:r>
        <w:rPr>
          <w:rStyle w:val="9"/>
          <w:rFonts w:hint="eastAsia" w:ascii="仿宋" w:hAnsi="仿宋" w:eastAsia="仿宋" w:cs="仿宋"/>
          <w:sz w:val="32"/>
          <w:szCs w:val="32"/>
        </w:rPr>
        <w:t>SKF</w:t>
      </w:r>
      <w:r>
        <w:rPr>
          <w:rFonts w:hint="eastAsia" w:ascii="Times New Roman" w:hAnsi="Times New Roman" w:eastAsia="仿宋" w:cs="Times New Roman"/>
          <w:color w:val="auto"/>
          <w:sz w:val="32"/>
          <w:szCs w:val="32"/>
          <w:shd w:val="clear" w:color="auto" w:fill="FFFFFF"/>
        </w:rPr>
        <w:t>、日本</w:t>
      </w:r>
      <w:r>
        <w:rPr>
          <w:rStyle w:val="9"/>
          <w:rFonts w:hint="eastAsia" w:ascii="仿宋" w:hAnsi="仿宋" w:eastAsia="仿宋" w:cs="仿宋"/>
          <w:sz w:val="32"/>
          <w:szCs w:val="32"/>
        </w:rPr>
        <w:t>IHI</w:t>
      </w:r>
      <w:r>
        <w:rPr>
          <w:rFonts w:hint="eastAsia" w:ascii="Times New Roman" w:hAnsi="Times New Roman" w:eastAsia="仿宋" w:cs="Times New Roman"/>
          <w:color w:val="auto"/>
          <w:sz w:val="32"/>
          <w:szCs w:val="32"/>
          <w:shd w:val="clear" w:color="auto" w:fill="FFFFFF"/>
        </w:rPr>
        <w:t>等国外著名大公司的锻件供应商。</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黑体" w:cs="Times New Roman"/>
          <w:kern w:val="2"/>
          <w:sz w:val="32"/>
          <w:szCs w:val="32"/>
        </w:rPr>
      </w:pPr>
      <w:r>
        <w:rPr>
          <w:rFonts w:ascii="Times New Roman" w:hAnsi="Times New Roman" w:eastAsia="黑体" w:cs="Times New Roman"/>
          <w:kern w:val="2"/>
          <w:sz w:val="32"/>
          <w:szCs w:val="32"/>
        </w:rPr>
        <w:t>四、技术需求描述</w:t>
      </w:r>
    </w:p>
    <w:p>
      <w:pPr>
        <w:keepNext w:val="0"/>
        <w:keepLines w:val="0"/>
        <w:pageBreakBefore w:val="0"/>
        <w:widowControl w:val="0"/>
        <w:kinsoku/>
        <w:wordWrap/>
        <w:overflowPunct/>
        <w:topLinePunct w:val="0"/>
        <w:autoSpaceDE/>
        <w:autoSpaceDN/>
        <w:bidi w:val="0"/>
        <w:adjustRightInd w:val="0"/>
        <w:snapToGrid w:val="0"/>
        <w:spacing w:line="560" w:lineRule="exact"/>
        <w:ind w:firstLine="642" w:firstLineChars="200"/>
        <w:textAlignment w:val="auto"/>
        <w:rPr>
          <w:rFonts w:ascii="Times New Roman" w:hAnsi="Times New Roman" w:eastAsia="楷体_GB2312" w:cs="Times New Roman"/>
          <w:b/>
          <w:bCs/>
          <w:kern w:val="2"/>
          <w:sz w:val="32"/>
          <w:szCs w:val="32"/>
        </w:rPr>
      </w:pPr>
      <w:r>
        <w:rPr>
          <w:rFonts w:ascii="Times New Roman" w:hAnsi="Times New Roman" w:eastAsia="楷体_GB2312" w:cs="Times New Roman"/>
          <w:b/>
          <w:bCs/>
          <w:kern w:val="2"/>
          <w:sz w:val="32"/>
          <w:szCs w:val="32"/>
        </w:rPr>
        <w:t>（一）技术难题</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仿宋" w:hAnsi="仿宋" w:eastAsia="仿宋" w:cs="仿宋"/>
          <w:kern w:val="2"/>
          <w:sz w:val="32"/>
          <w:szCs w:val="32"/>
        </w:rPr>
      </w:pPr>
      <w:r>
        <w:rPr>
          <w:rStyle w:val="9"/>
          <w:rFonts w:hint="eastAsia" w:ascii="仿宋" w:hAnsi="仿宋" w:eastAsia="仿宋" w:cs="仿宋"/>
          <w:sz w:val="32"/>
          <w:szCs w:val="32"/>
        </w:rPr>
        <w:t>TC2是</w:t>
      </w:r>
      <w:r>
        <w:rPr>
          <w:rFonts w:ascii="仿宋" w:hAnsi="仿宋" w:eastAsia="仿宋" w:cs="仿宋"/>
          <w:kern w:val="2"/>
          <w:sz w:val="32"/>
          <w:szCs w:val="32"/>
        </w:rPr>
        <w:t>一种具有中等强度和较好塑性的近</w:t>
      </w:r>
      <w:r>
        <w:rPr>
          <w:rStyle w:val="9"/>
          <w:rFonts w:hint="eastAsia" w:ascii="仿宋" w:hAnsi="仿宋" w:eastAsia="仿宋" w:cs="仿宋"/>
          <w:sz w:val="32"/>
          <w:szCs w:val="32"/>
        </w:rPr>
        <w:t>α</w:t>
      </w:r>
      <w:r>
        <w:rPr>
          <w:rFonts w:ascii="仿宋" w:hAnsi="仿宋" w:eastAsia="仿宋" w:cs="仿宋"/>
          <w:kern w:val="2"/>
          <w:sz w:val="32"/>
          <w:szCs w:val="32"/>
        </w:rPr>
        <w:t>型高温钛合金材料，主要应用于高性能航空发动机的叶片。</w:t>
      </w:r>
      <w:r>
        <w:rPr>
          <w:rStyle w:val="9"/>
          <w:rFonts w:hint="eastAsia" w:ascii="仿宋" w:hAnsi="仿宋" w:eastAsia="仿宋" w:cs="仿宋"/>
          <w:sz w:val="32"/>
          <w:szCs w:val="32"/>
        </w:rPr>
        <w:t>TC2</w:t>
      </w:r>
      <w:r>
        <w:rPr>
          <w:rFonts w:ascii="仿宋" w:hAnsi="仿宋" w:eastAsia="仿宋" w:cs="仿宋"/>
          <w:kern w:val="2"/>
          <w:sz w:val="32"/>
          <w:szCs w:val="32"/>
        </w:rPr>
        <w:t>具有较好的工艺塑性、焊接性和热稳定性，长期工作温度可达</w:t>
      </w:r>
      <w:r>
        <w:rPr>
          <w:rStyle w:val="9"/>
          <w:rFonts w:hint="eastAsia" w:ascii="仿宋" w:hAnsi="仿宋" w:eastAsia="仿宋" w:cs="仿宋"/>
          <w:sz w:val="32"/>
          <w:szCs w:val="32"/>
        </w:rPr>
        <w:t>350℃</w:t>
      </w:r>
      <w:r>
        <w:rPr>
          <w:rFonts w:ascii="仿宋" w:hAnsi="仿宋" w:eastAsia="仿宋" w:cs="仿宋"/>
          <w:kern w:val="2"/>
          <w:sz w:val="32"/>
          <w:szCs w:val="32"/>
        </w:rPr>
        <w:t>，短时使用温度为</w:t>
      </w:r>
      <w:r>
        <w:rPr>
          <w:rStyle w:val="9"/>
          <w:rFonts w:hint="eastAsia" w:ascii="仿宋" w:hAnsi="仿宋" w:eastAsia="仿宋" w:cs="仿宋"/>
          <w:sz w:val="32"/>
          <w:szCs w:val="32"/>
        </w:rPr>
        <w:t>750℃</w:t>
      </w:r>
      <w:r>
        <w:rPr>
          <w:rFonts w:ascii="仿宋" w:hAnsi="仿宋" w:eastAsia="仿宋" w:cs="仿宋"/>
          <w:kern w:val="2"/>
          <w:sz w:val="32"/>
          <w:szCs w:val="32"/>
        </w:rPr>
        <w:t>，广泛用于制造航空发动机机匣类环锻件</w:t>
      </w:r>
      <w:r>
        <w:rPr>
          <w:rFonts w:hint="eastAsia" w:ascii="仿宋" w:hAnsi="仿宋" w:eastAsia="仿宋" w:cs="仿宋"/>
          <w:kern w:val="2"/>
          <w:sz w:val="32"/>
          <w:szCs w:val="32"/>
        </w:rPr>
        <w:t>、</w:t>
      </w:r>
      <w:r>
        <w:rPr>
          <w:rFonts w:ascii="仿宋" w:hAnsi="仿宋" w:eastAsia="仿宋" w:cs="仿宋"/>
          <w:kern w:val="2"/>
          <w:sz w:val="32"/>
          <w:szCs w:val="32"/>
        </w:rPr>
        <w:t>机翼、安定面、襟翼</w:t>
      </w:r>
      <w:r>
        <w:rPr>
          <w:rFonts w:hint="eastAsia" w:ascii="仿宋" w:hAnsi="仿宋" w:eastAsia="仿宋" w:cs="仿宋"/>
          <w:kern w:val="2"/>
          <w:sz w:val="32"/>
          <w:szCs w:val="32"/>
        </w:rPr>
        <w:t>等。然而，复杂截面机匣锻件一般具有薄壁、刚度差、形状复杂、精度要求高等要求严苛的特点，制备难度较大。生产</w:t>
      </w:r>
      <w:r>
        <w:rPr>
          <w:rFonts w:hint="eastAsia" w:ascii="仿宋" w:hAnsi="仿宋" w:eastAsia="仿宋" w:cs="仿宋"/>
          <w:kern w:val="2"/>
          <w:sz w:val="32"/>
          <w:szCs w:val="32"/>
          <w:lang w:val="en-US" w:eastAsia="zh-CN"/>
        </w:rPr>
        <w:t>过程</w:t>
      </w:r>
      <w:r>
        <w:rPr>
          <w:rFonts w:hint="eastAsia" w:ascii="仿宋" w:hAnsi="仿宋" w:eastAsia="仿宋" w:cs="仿宋"/>
          <w:kern w:val="2"/>
          <w:sz w:val="32"/>
          <w:szCs w:val="32"/>
        </w:rPr>
        <w:t>中</w:t>
      </w:r>
      <w:r>
        <w:rPr>
          <w:rFonts w:hint="eastAsia" w:ascii="仿宋" w:hAnsi="仿宋" w:eastAsia="仿宋" w:cs="仿宋"/>
          <w:kern w:val="2"/>
          <w:sz w:val="32"/>
          <w:szCs w:val="32"/>
          <w:lang w:eastAsia="zh-CN"/>
        </w:rPr>
        <w:t>，</w:t>
      </w:r>
      <w:r>
        <w:rPr>
          <w:rFonts w:hint="eastAsia" w:ascii="仿宋" w:hAnsi="仿宋" w:eastAsia="仿宋" w:cs="仿宋"/>
          <w:kern w:val="2"/>
          <w:sz w:val="32"/>
          <w:szCs w:val="32"/>
          <w:lang w:val="en-US" w:eastAsia="zh-CN"/>
        </w:rPr>
        <w:t>由于</w:t>
      </w:r>
      <w:r>
        <w:rPr>
          <w:rStyle w:val="9"/>
          <w:rFonts w:hint="eastAsia" w:ascii="仿宋" w:hAnsi="仿宋" w:eastAsia="仿宋" w:cs="仿宋"/>
          <w:sz w:val="32"/>
          <w:szCs w:val="32"/>
        </w:rPr>
        <w:t>TC2</w:t>
      </w:r>
      <w:r>
        <w:rPr>
          <w:rFonts w:hint="eastAsia" w:ascii="仿宋" w:hAnsi="仿宋" w:eastAsia="仿宋" w:cs="仿宋"/>
          <w:kern w:val="2"/>
          <w:sz w:val="32"/>
          <w:szCs w:val="32"/>
        </w:rPr>
        <w:t>环件端面存在</w:t>
      </w:r>
      <w:r>
        <w:rPr>
          <w:rFonts w:ascii="仿宋" w:hAnsi="仿宋" w:eastAsia="仿宋" w:cs="仿宋"/>
          <w:kern w:val="2"/>
          <w:sz w:val="32"/>
          <w:szCs w:val="32"/>
        </w:rPr>
        <w:t>晶粒粗大或晶粒大小不均匀的组织</w:t>
      </w:r>
      <w:r>
        <w:rPr>
          <w:rFonts w:hint="eastAsia" w:ascii="仿宋" w:hAnsi="仿宋" w:eastAsia="仿宋" w:cs="仿宋"/>
          <w:kern w:val="2"/>
          <w:sz w:val="32"/>
          <w:szCs w:val="32"/>
        </w:rPr>
        <w:t>，</w:t>
      </w:r>
      <w:r>
        <w:rPr>
          <w:rFonts w:ascii="仿宋" w:hAnsi="仿宋" w:eastAsia="仿宋" w:cs="仿宋"/>
          <w:kern w:val="2"/>
          <w:sz w:val="32"/>
          <w:szCs w:val="32"/>
        </w:rPr>
        <w:t>使</w:t>
      </w:r>
      <w:r>
        <w:rPr>
          <w:rFonts w:hint="eastAsia" w:ascii="仿宋" w:hAnsi="仿宋" w:eastAsia="仿宋" w:cs="仿宋"/>
          <w:kern w:val="2"/>
          <w:sz w:val="32"/>
          <w:szCs w:val="32"/>
          <w:lang w:val="en-US" w:eastAsia="zh-CN"/>
        </w:rPr>
        <w:t>得</w:t>
      </w:r>
      <w:r>
        <w:rPr>
          <w:rFonts w:ascii="仿宋" w:hAnsi="仿宋" w:eastAsia="仿宋" w:cs="仿宋"/>
          <w:kern w:val="2"/>
          <w:sz w:val="32"/>
          <w:szCs w:val="32"/>
        </w:rPr>
        <w:t>材料的疲劳和持久性能明显下降。</w:t>
      </w:r>
      <w:r>
        <w:rPr>
          <w:rStyle w:val="9"/>
          <w:rFonts w:hint="eastAsia" w:ascii="仿宋" w:hAnsi="仿宋" w:eastAsia="仿宋" w:cs="仿宋"/>
          <w:sz w:val="32"/>
          <w:szCs w:val="32"/>
        </w:rPr>
        <w:t>针对目前TC2</w:t>
      </w:r>
      <w:r>
        <w:rPr>
          <w:rFonts w:hint="eastAsia" w:ascii="仿宋" w:hAnsi="仿宋" w:eastAsia="仿宋" w:cs="仿宋"/>
          <w:kern w:val="2"/>
          <w:sz w:val="32"/>
          <w:szCs w:val="32"/>
        </w:rPr>
        <w:t>环件端面</w:t>
      </w:r>
      <w:r>
        <w:rPr>
          <w:rFonts w:ascii="仿宋" w:hAnsi="仿宋" w:eastAsia="仿宋" w:cs="仿宋"/>
          <w:kern w:val="2"/>
          <w:sz w:val="32"/>
          <w:szCs w:val="32"/>
        </w:rPr>
        <w:t>晶粒粗大</w:t>
      </w:r>
      <w:r>
        <w:rPr>
          <w:rFonts w:hint="eastAsia" w:ascii="仿宋" w:hAnsi="仿宋" w:eastAsia="仿宋" w:cs="仿宋"/>
          <w:kern w:val="2"/>
          <w:sz w:val="32"/>
          <w:szCs w:val="32"/>
          <w:lang w:val="en-US" w:eastAsia="zh-CN"/>
        </w:rPr>
        <w:t>及组织、性能不均</w:t>
      </w:r>
      <w:r>
        <w:rPr>
          <w:rStyle w:val="9"/>
          <w:rFonts w:hint="eastAsia" w:ascii="仿宋" w:hAnsi="仿宋" w:eastAsia="仿宋" w:cs="仿宋"/>
          <w:sz w:val="32"/>
          <w:szCs w:val="32"/>
        </w:rPr>
        <w:t>的紧迫问题，</w:t>
      </w:r>
      <w:r>
        <w:rPr>
          <w:rStyle w:val="9"/>
          <w:rFonts w:hint="eastAsia" w:ascii="仿宋" w:hAnsi="仿宋" w:eastAsia="仿宋" w:cs="仿宋"/>
          <w:sz w:val="32"/>
          <w:szCs w:val="32"/>
          <w:lang w:val="en-US"/>
        </w:rPr>
        <w:t>亟需</w:t>
      </w:r>
      <w:r>
        <w:rPr>
          <w:rStyle w:val="9"/>
          <w:rFonts w:hint="eastAsia" w:ascii="仿宋" w:hAnsi="仿宋" w:eastAsia="仿宋" w:cs="仿宋"/>
          <w:sz w:val="32"/>
          <w:szCs w:val="32"/>
        </w:rPr>
        <w:t>开展TC2</w:t>
      </w:r>
      <w:r>
        <w:rPr>
          <w:rFonts w:hint="eastAsia" w:ascii="仿宋" w:hAnsi="仿宋" w:eastAsia="仿宋" w:cs="仿宋"/>
          <w:kern w:val="2"/>
          <w:sz w:val="32"/>
          <w:szCs w:val="32"/>
        </w:rPr>
        <w:t>环件</w:t>
      </w:r>
      <w:r>
        <w:rPr>
          <w:rFonts w:hint="eastAsia" w:ascii="仿宋" w:hAnsi="仿宋" w:eastAsia="仿宋" w:cs="仿宋"/>
          <w:kern w:val="2"/>
          <w:sz w:val="32"/>
          <w:szCs w:val="32"/>
          <w:lang w:val="en-US" w:eastAsia="zh-CN"/>
        </w:rPr>
        <w:t>锻压</w:t>
      </w:r>
      <w:r>
        <w:rPr>
          <w:rStyle w:val="9"/>
          <w:rFonts w:hint="eastAsia" w:ascii="仿宋" w:hAnsi="仿宋" w:eastAsia="仿宋" w:cs="仿宋"/>
          <w:sz w:val="32"/>
          <w:szCs w:val="32"/>
        </w:rPr>
        <w:t>加工关键技术攻关，</w:t>
      </w:r>
      <w:r>
        <w:rPr>
          <w:rFonts w:hint="eastAsia" w:ascii="仿宋" w:hAnsi="仿宋" w:eastAsia="仿宋" w:cs="仿宋"/>
          <w:kern w:val="2"/>
          <w:sz w:val="32"/>
          <w:szCs w:val="32"/>
          <w:lang w:val="en-US" w:eastAsia="zh-CN"/>
        </w:rPr>
        <w:t>开发</w:t>
      </w:r>
      <w:r>
        <w:rPr>
          <w:rFonts w:hint="eastAsia" w:ascii="仿宋" w:hAnsi="仿宋" w:eastAsia="仿宋" w:cs="仿宋"/>
          <w:kern w:val="2"/>
          <w:sz w:val="32"/>
          <w:szCs w:val="32"/>
        </w:rPr>
        <w:t>有效控制锻件</w:t>
      </w:r>
      <w:r>
        <w:rPr>
          <w:rFonts w:hint="eastAsia" w:ascii="仿宋" w:hAnsi="仿宋" w:eastAsia="仿宋" w:cs="仿宋"/>
          <w:kern w:val="2"/>
          <w:sz w:val="32"/>
          <w:szCs w:val="32"/>
          <w:lang w:val="en-US" w:eastAsia="zh-CN"/>
        </w:rPr>
        <w:t>端面组织的新工艺以</w:t>
      </w:r>
      <w:r>
        <w:rPr>
          <w:rFonts w:hint="eastAsia" w:ascii="仿宋" w:hAnsi="仿宋" w:eastAsia="仿宋" w:cs="仿宋"/>
          <w:kern w:val="2"/>
          <w:sz w:val="32"/>
          <w:szCs w:val="32"/>
        </w:rPr>
        <w:t>提高锻件性能</w:t>
      </w:r>
      <w:r>
        <w:rPr>
          <w:rFonts w:hint="eastAsia" w:ascii="仿宋" w:hAnsi="仿宋" w:eastAsia="仿宋" w:cs="仿宋"/>
          <w:kern w:val="2"/>
          <w:sz w:val="32"/>
          <w:szCs w:val="32"/>
          <w:lang w:eastAsia="zh-CN"/>
        </w:rPr>
        <w:t>，</w:t>
      </w:r>
      <w:r>
        <w:rPr>
          <w:rFonts w:hint="eastAsia" w:ascii="仿宋" w:hAnsi="仿宋" w:eastAsia="仿宋" w:cs="仿宋"/>
          <w:kern w:val="2"/>
          <w:sz w:val="32"/>
          <w:szCs w:val="32"/>
          <w:lang w:val="en-US" w:eastAsia="zh-CN"/>
        </w:rPr>
        <w:t>进一步改善航空零部件服役寿命</w:t>
      </w:r>
      <w:r>
        <w:rPr>
          <w:rFonts w:hint="eastAsia" w:ascii="仿宋" w:hAnsi="仿宋" w:eastAsia="仿宋" w:cs="仿宋"/>
          <w:kern w:val="2"/>
          <w:sz w:val="32"/>
          <w:szCs w:val="32"/>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642" w:firstLineChars="200"/>
        <w:textAlignment w:val="auto"/>
        <w:rPr>
          <w:rFonts w:ascii="Times New Roman" w:hAnsi="Times New Roman" w:eastAsia="楷体_GB2312" w:cs="Times New Roman"/>
          <w:b/>
          <w:bCs/>
          <w:kern w:val="2"/>
          <w:sz w:val="32"/>
          <w:szCs w:val="32"/>
        </w:rPr>
      </w:pPr>
      <w:r>
        <w:rPr>
          <w:rFonts w:ascii="Times New Roman" w:hAnsi="Times New Roman" w:eastAsia="楷体_GB2312" w:cs="Times New Roman"/>
          <w:b/>
          <w:bCs/>
          <w:kern w:val="2"/>
          <w:sz w:val="32"/>
          <w:szCs w:val="32"/>
        </w:rPr>
        <w:t>（二）攻关内容</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仿宋" w:cs="Times New Roman"/>
          <w:sz w:val="32"/>
          <w:szCs w:val="32"/>
        </w:rPr>
      </w:pPr>
      <w:r>
        <w:rPr>
          <w:rFonts w:ascii="Times New Roman" w:hAnsi="Times New Roman" w:eastAsia="仿宋" w:cs="Times New Roman"/>
          <w:sz w:val="32"/>
          <w:szCs w:val="32"/>
        </w:rPr>
        <w:t>由于锻造成型过程中通常会引起材料局部温度场、应力应变分布不均匀，导致材料微观组织演变条件不同，最终造成锻件组织分布</w:t>
      </w:r>
      <w:r>
        <w:rPr>
          <w:rFonts w:hint="eastAsia" w:ascii="Times New Roman" w:hAnsi="Times New Roman" w:eastAsia="仿宋" w:cs="Times New Roman"/>
          <w:sz w:val="32"/>
          <w:szCs w:val="32"/>
        </w:rPr>
        <w:t>的</w:t>
      </w:r>
      <w:r>
        <w:rPr>
          <w:rFonts w:ascii="Times New Roman" w:hAnsi="Times New Roman" w:eastAsia="仿宋" w:cs="Times New Roman"/>
          <w:sz w:val="32"/>
          <w:szCs w:val="32"/>
        </w:rPr>
        <w:t>不均匀性</w:t>
      </w:r>
      <w:r>
        <w:rPr>
          <w:rFonts w:hint="eastAsia" w:ascii="Times New Roman" w:hAnsi="Times New Roman" w:eastAsia="仿宋" w:cs="Times New Roman"/>
          <w:sz w:val="32"/>
          <w:szCs w:val="32"/>
        </w:rPr>
        <w:t>，极大地影响着锻件性能与服役寿命</w:t>
      </w:r>
      <w:r>
        <w:rPr>
          <w:rFonts w:ascii="Times New Roman" w:hAnsi="Times New Roman" w:eastAsia="仿宋" w:cs="Times New Roman"/>
          <w:sz w:val="32"/>
          <w:szCs w:val="32"/>
        </w:rPr>
        <w:t>。</w:t>
      </w:r>
      <w:r>
        <w:rPr>
          <w:rFonts w:hint="eastAsia" w:ascii="Times New Roman" w:hAnsi="Times New Roman" w:eastAsia="仿宋" w:cs="Times New Roman"/>
          <w:sz w:val="32"/>
          <w:szCs w:val="32"/>
        </w:rPr>
        <w:t>因此，</w:t>
      </w:r>
      <w:r>
        <w:rPr>
          <w:rFonts w:ascii="Times New Roman" w:hAnsi="Times New Roman" w:eastAsia="仿宋" w:cs="Times New Roman"/>
          <w:sz w:val="32"/>
          <w:szCs w:val="32"/>
        </w:rPr>
        <w:t>本</w:t>
      </w:r>
      <w:r>
        <w:rPr>
          <w:rFonts w:hint="eastAsia" w:ascii="Times New Roman" w:hAnsi="Times New Roman" w:eastAsia="仿宋" w:cs="Times New Roman"/>
          <w:sz w:val="32"/>
          <w:szCs w:val="32"/>
        </w:rPr>
        <w:t>项目拟攻关</w:t>
      </w:r>
      <w:r>
        <w:rPr>
          <w:rFonts w:ascii="Times New Roman" w:hAnsi="Times New Roman" w:eastAsia="仿宋" w:cs="Times New Roman"/>
          <w:sz w:val="32"/>
          <w:szCs w:val="32"/>
        </w:rPr>
        <w:t>的关键技术包括：</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仿宋" w:cs="Times New Roman"/>
          <w:sz w:val="32"/>
          <w:szCs w:val="32"/>
        </w:rPr>
      </w:pPr>
      <w:r>
        <w:rPr>
          <w:rStyle w:val="9"/>
          <w:rFonts w:hint="default" w:ascii="仿宋" w:hAnsi="仿宋" w:eastAsia="仿宋" w:cs="仿宋"/>
          <w:sz w:val="32"/>
          <w:szCs w:val="32"/>
          <w:lang w:val="en"/>
        </w:rPr>
        <w:t>1.</w:t>
      </w:r>
      <w:r>
        <w:rPr>
          <w:rStyle w:val="9"/>
          <w:rFonts w:hint="eastAsia" w:ascii="仿宋" w:hAnsi="仿宋" w:eastAsia="仿宋" w:cs="仿宋"/>
          <w:sz w:val="32"/>
          <w:szCs w:val="32"/>
        </w:rPr>
        <w:t>TC2</w:t>
      </w:r>
      <w:r>
        <w:rPr>
          <w:rFonts w:ascii="Times New Roman" w:hAnsi="Times New Roman" w:eastAsia="仿宋" w:cs="Times New Roman"/>
          <w:sz w:val="32"/>
          <w:szCs w:val="32"/>
        </w:rPr>
        <w:t>机匣环件成型过程中温度场及应力</w:t>
      </w:r>
      <w:r>
        <w:rPr>
          <w:rFonts w:hint="eastAsia" w:ascii="Times New Roman" w:hAnsi="Times New Roman" w:eastAsia="仿宋" w:cs="Times New Roman"/>
          <w:sz w:val="32"/>
          <w:szCs w:val="32"/>
        </w:rPr>
        <w:t>、</w:t>
      </w:r>
      <w:r>
        <w:rPr>
          <w:rFonts w:ascii="Times New Roman" w:hAnsi="Times New Roman" w:eastAsia="仿宋" w:cs="Times New Roman"/>
          <w:sz w:val="32"/>
          <w:szCs w:val="32"/>
        </w:rPr>
        <w:t>应变场分布特性研究。</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仿宋" w:cs="Times New Roman"/>
          <w:sz w:val="32"/>
          <w:szCs w:val="32"/>
        </w:rPr>
      </w:pPr>
      <w:r>
        <w:rPr>
          <w:rStyle w:val="9"/>
          <w:rFonts w:hint="eastAsia" w:ascii="仿宋" w:hAnsi="仿宋" w:eastAsia="仿宋" w:cs="仿宋"/>
          <w:sz w:val="32"/>
          <w:szCs w:val="32"/>
          <w:lang w:val="en-US" w:eastAsia="zh-CN"/>
        </w:rPr>
        <w:t>2.</w:t>
      </w:r>
      <w:r>
        <w:rPr>
          <w:rFonts w:ascii="Times New Roman" w:hAnsi="Times New Roman" w:eastAsia="仿宋" w:cs="Times New Roman"/>
          <w:sz w:val="32"/>
          <w:szCs w:val="32"/>
        </w:rPr>
        <w:t>揭示</w:t>
      </w:r>
      <w:r>
        <w:rPr>
          <w:rStyle w:val="9"/>
          <w:rFonts w:hint="eastAsia" w:ascii="仿宋" w:hAnsi="仿宋" w:eastAsia="仿宋" w:cs="仿宋"/>
          <w:sz w:val="32"/>
          <w:szCs w:val="32"/>
        </w:rPr>
        <w:t>TC2</w:t>
      </w:r>
      <w:r>
        <w:rPr>
          <w:rFonts w:ascii="Times New Roman" w:hAnsi="Times New Roman" w:eastAsia="仿宋" w:cs="Times New Roman"/>
          <w:sz w:val="32"/>
          <w:szCs w:val="32"/>
        </w:rPr>
        <w:t>机匣端面粗晶形成机理，量化分析不同工艺条件下锻件晶粒度，明确影响粗晶形成的主要因素。</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Chars="0" w:firstLine="640" w:firstLineChars="200"/>
        <w:textAlignment w:val="auto"/>
        <w:rPr>
          <w:rFonts w:ascii="Times New Roman" w:hAnsi="Times New Roman" w:eastAsia="仿宋" w:cs="Times New Roman"/>
          <w:sz w:val="32"/>
          <w:szCs w:val="32"/>
        </w:rPr>
      </w:pPr>
      <w:r>
        <w:rPr>
          <w:rStyle w:val="9"/>
          <w:rFonts w:hint="eastAsia" w:ascii="仿宋" w:hAnsi="仿宋" w:eastAsia="仿宋" w:cs="仿宋"/>
          <w:sz w:val="32"/>
          <w:szCs w:val="32"/>
          <w:lang w:val="en-US" w:eastAsia="zh-CN"/>
        </w:rPr>
        <w:t>3.</w:t>
      </w:r>
      <w:r>
        <w:rPr>
          <w:rFonts w:ascii="Times New Roman" w:hAnsi="Times New Roman" w:eastAsia="仿宋" w:cs="Times New Roman"/>
          <w:sz w:val="32"/>
          <w:szCs w:val="32"/>
        </w:rPr>
        <w:t>通过轧制控制，如改善润滑或更改锻件结构、优化模具和工装设计、中间胚尺寸控制等方法，开发制备组织均匀</w:t>
      </w:r>
      <w:r>
        <w:rPr>
          <w:rStyle w:val="9"/>
          <w:rFonts w:hint="eastAsia" w:ascii="仿宋" w:hAnsi="仿宋" w:eastAsia="仿宋" w:cs="仿宋"/>
          <w:sz w:val="32"/>
          <w:szCs w:val="32"/>
        </w:rPr>
        <w:t>TC2</w:t>
      </w:r>
      <w:r>
        <w:rPr>
          <w:rFonts w:ascii="Times New Roman" w:hAnsi="Times New Roman" w:eastAsia="仿宋" w:cs="Times New Roman"/>
          <w:sz w:val="32"/>
          <w:szCs w:val="32"/>
        </w:rPr>
        <w:t>机匣环件新工艺</w:t>
      </w:r>
      <w:r>
        <w:rPr>
          <w:rFonts w:hint="eastAsia" w:ascii="Times New Roman" w:hAnsi="Times New Roman" w:eastAsia="仿宋" w:cs="Times New Roman"/>
          <w:sz w:val="32"/>
          <w:szCs w:val="32"/>
          <w:lang w:eastAsia="zh-CN"/>
        </w:rPr>
        <w:t>，</w:t>
      </w:r>
      <w:r>
        <w:rPr>
          <w:rFonts w:hint="eastAsia" w:ascii="Times New Roman" w:hAnsi="Times New Roman" w:eastAsia="仿宋" w:cs="Times New Roman"/>
          <w:sz w:val="32"/>
          <w:szCs w:val="32"/>
          <w:lang w:val="en-US" w:eastAsia="zh-CN"/>
        </w:rPr>
        <w:t>并设计、开发工艺示范生产线</w:t>
      </w:r>
      <w:r>
        <w:rPr>
          <w:rStyle w:val="9"/>
          <w:rFonts w:hint="eastAsia" w:ascii="仿宋" w:hAnsi="仿宋" w:eastAsia="仿宋" w:cs="仿宋"/>
          <w:sz w:val="32"/>
          <w:szCs w:val="32"/>
          <w:lang w:val="en-US" w:eastAsia="zh-CN"/>
        </w:rPr>
        <w:t>1</w:t>
      </w:r>
      <w:r>
        <w:rPr>
          <w:rFonts w:hint="eastAsia" w:ascii="Times New Roman" w:hAnsi="Times New Roman" w:eastAsia="仿宋" w:cs="Times New Roman"/>
          <w:sz w:val="32"/>
          <w:szCs w:val="32"/>
          <w:lang w:val="en-US" w:eastAsia="zh-CN"/>
        </w:rPr>
        <w:t>条</w:t>
      </w:r>
      <w:r>
        <w:rPr>
          <w:rFonts w:ascii="Times New Roman" w:hAnsi="Times New Roman" w:eastAsia="仿宋" w:cs="Times New Roman"/>
          <w:sz w:val="32"/>
          <w:szCs w:val="32"/>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黑体" w:cs="Times New Roman"/>
          <w:kern w:val="2"/>
          <w:sz w:val="32"/>
          <w:szCs w:val="32"/>
        </w:rPr>
      </w:pPr>
      <w:r>
        <w:rPr>
          <w:rFonts w:ascii="Times New Roman" w:hAnsi="Times New Roman" w:eastAsia="黑体" w:cs="Times New Roman"/>
          <w:kern w:val="2"/>
          <w:sz w:val="32"/>
          <w:szCs w:val="32"/>
        </w:rPr>
        <w:t>五、考核指标</w:t>
      </w:r>
    </w:p>
    <w:p>
      <w:pPr>
        <w:keepNext w:val="0"/>
        <w:keepLines w:val="0"/>
        <w:pageBreakBefore w:val="0"/>
        <w:widowControl w:val="0"/>
        <w:kinsoku/>
        <w:wordWrap/>
        <w:overflowPunct/>
        <w:topLinePunct w:val="0"/>
        <w:autoSpaceDE/>
        <w:autoSpaceDN/>
        <w:bidi w:val="0"/>
        <w:adjustRightInd w:val="0"/>
        <w:snapToGrid w:val="0"/>
        <w:spacing w:line="560" w:lineRule="exact"/>
        <w:ind w:firstLine="642" w:firstLineChars="200"/>
        <w:textAlignment w:val="auto"/>
        <w:rPr>
          <w:rFonts w:ascii="Times New Roman" w:hAnsi="Times New Roman" w:eastAsia="楷体_GB2312" w:cs="Times New Roman"/>
          <w:b/>
          <w:bCs/>
          <w:kern w:val="2"/>
          <w:sz w:val="32"/>
          <w:szCs w:val="32"/>
        </w:rPr>
      </w:pPr>
      <w:r>
        <w:rPr>
          <w:rFonts w:ascii="Times New Roman" w:hAnsi="Times New Roman" w:eastAsia="楷体_GB2312" w:cs="Times New Roman"/>
          <w:b/>
          <w:bCs/>
          <w:kern w:val="2"/>
          <w:sz w:val="32"/>
          <w:szCs w:val="32"/>
        </w:rPr>
        <w:t>（一）研发目标</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textAlignment w:val="auto"/>
        <w:rPr>
          <w:rStyle w:val="9"/>
          <w:rFonts w:ascii="仿宋" w:hAnsi="仿宋" w:eastAsia="仿宋" w:cs="仿宋"/>
          <w:sz w:val="32"/>
          <w:szCs w:val="32"/>
        </w:rPr>
      </w:pPr>
      <w:r>
        <w:rPr>
          <w:rFonts w:ascii="仿宋" w:hAnsi="仿宋" w:eastAsia="仿宋" w:cs="仿宋"/>
          <w:kern w:val="2"/>
          <w:sz w:val="32"/>
          <w:szCs w:val="32"/>
        </w:rPr>
        <w:t>本项目</w:t>
      </w:r>
      <w:r>
        <w:rPr>
          <w:rFonts w:hint="eastAsia" w:ascii="仿宋" w:hAnsi="仿宋" w:eastAsia="仿宋" w:cs="仿宋"/>
          <w:kern w:val="2"/>
          <w:sz w:val="32"/>
          <w:szCs w:val="32"/>
        </w:rPr>
        <w:t>基于工艺控制，在提高尺寸精度的前提下，明确锻件微观组织形成机制及关键影响因素，改善环件晶粒度，提高锻件性能，制备出满足标准和组织均匀性要求的精化环件</w:t>
      </w:r>
      <w:r>
        <w:rPr>
          <w:rFonts w:hint="eastAsia" w:ascii="仿宋" w:hAnsi="仿宋" w:eastAsia="仿宋" w:cs="仿宋"/>
          <w:kern w:val="2"/>
          <w:sz w:val="32"/>
          <w:szCs w:val="32"/>
          <w:lang w:eastAsia="zh-CN"/>
        </w:rPr>
        <w:t>，</w:t>
      </w:r>
      <w:r>
        <w:rPr>
          <w:rFonts w:hint="eastAsia" w:ascii="仿宋" w:hAnsi="仿宋" w:eastAsia="仿宋" w:cs="仿宋"/>
          <w:kern w:val="2"/>
          <w:sz w:val="32"/>
          <w:szCs w:val="32"/>
          <w:lang w:val="en-US" w:eastAsia="zh-CN"/>
        </w:rPr>
        <w:t>可为安大航空锻造有限责任公司实现销售收入2000万元，新增利税300万元。此外，</w:t>
      </w:r>
      <w:r>
        <w:rPr>
          <w:rFonts w:hint="eastAsia" w:ascii="仿宋" w:hAnsi="仿宋" w:eastAsia="仿宋" w:cs="仿宋"/>
          <w:kern w:val="2"/>
          <w:sz w:val="32"/>
          <w:szCs w:val="32"/>
        </w:rPr>
        <w:t>该成型技术可以推广至其他合金矩形薄壁和异形截面环件的轧制过程，有助于实现环件形性一体化控制，进一步促进贵州省航空产业高质量发展。</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2" w:firstLineChars="200"/>
        <w:textAlignment w:val="auto"/>
        <w:rPr>
          <w:rFonts w:ascii="Times New Roman" w:hAnsi="Times New Roman" w:eastAsia="楷体_GB2312" w:cs="Times New Roman"/>
          <w:b/>
          <w:bCs/>
          <w:kern w:val="2"/>
          <w:sz w:val="32"/>
          <w:szCs w:val="32"/>
        </w:rPr>
      </w:pPr>
      <w:r>
        <w:rPr>
          <w:rFonts w:ascii="Times New Roman" w:hAnsi="Times New Roman" w:eastAsia="楷体_GB2312" w:cs="Times New Roman"/>
          <w:b/>
          <w:bCs/>
          <w:kern w:val="2"/>
          <w:sz w:val="32"/>
          <w:szCs w:val="32"/>
        </w:rPr>
        <w:t>（二）</w:t>
      </w:r>
      <w:r>
        <w:rPr>
          <w:rFonts w:ascii="Times New Roman" w:hAnsi="Times New Roman" w:eastAsia="楷体_GB2312" w:cs="Times New Roman"/>
          <w:b/>
          <w:bCs/>
          <w:color w:val="auto"/>
          <w:kern w:val="2"/>
          <w:sz w:val="32"/>
          <w:szCs w:val="32"/>
        </w:rPr>
        <w:t>技术指标参数</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textAlignment w:val="auto"/>
        <w:rPr>
          <w:rFonts w:ascii="仿宋" w:hAnsi="仿宋" w:eastAsia="仿宋" w:cs="仿宋"/>
          <w:sz w:val="32"/>
          <w:szCs w:val="32"/>
        </w:rPr>
      </w:pPr>
      <w:r>
        <w:rPr>
          <w:rFonts w:hint="eastAsia" w:ascii="仿宋" w:hAnsi="仿宋" w:eastAsia="仿宋" w:cs="仿宋"/>
          <w:sz w:val="32"/>
          <w:szCs w:val="32"/>
        </w:rPr>
        <w:t>本项目最终制备锻件应满足以下要求：</w:t>
      </w:r>
    </w:p>
    <w:p>
      <w:pPr>
        <w:pStyle w:val="2"/>
        <w:keepNext w:val="0"/>
        <w:keepLines w:val="0"/>
        <w:pageBreakBefore w:val="0"/>
        <w:widowControl w:val="0"/>
        <w:kinsoku/>
        <w:wordWrap/>
        <w:overflowPunct/>
        <w:topLinePunct w:val="0"/>
        <w:autoSpaceDE/>
        <w:autoSpaceDN/>
        <w:bidi w:val="0"/>
        <w:adjustRightInd w:val="0"/>
        <w:snapToGrid w:val="0"/>
        <w:spacing w:after="0" w:line="560" w:lineRule="exact"/>
        <w:ind w:left="0" w:leftChars="0" w:right="0" w:rightChars="0" w:firstLine="640" w:firstLineChars="200"/>
        <w:textAlignment w:val="auto"/>
        <w:rPr>
          <w:rFonts w:ascii="Times New Roman" w:hAnsi="Times New Roman" w:eastAsia="仿宋" w:cs="Times New Roman"/>
          <w:color w:val="auto"/>
          <w:sz w:val="32"/>
          <w:szCs w:val="32"/>
          <w:shd w:val="clear" w:color="auto" w:fill="FFFFFF"/>
        </w:rPr>
      </w:pPr>
      <w:r>
        <w:rPr>
          <w:rStyle w:val="9"/>
          <w:rFonts w:hint="default" w:ascii="仿宋" w:hAnsi="仿宋" w:eastAsia="仿宋" w:cs="仿宋"/>
          <w:color w:val="000000"/>
          <w:sz w:val="32"/>
          <w:szCs w:val="32"/>
        </w:rPr>
        <w:t>1</w:t>
      </w:r>
      <w:r>
        <w:rPr>
          <w:rStyle w:val="9"/>
          <w:rFonts w:hint="eastAsia" w:ascii="仿宋" w:hAnsi="仿宋" w:eastAsia="仿宋" w:cs="仿宋"/>
          <w:color w:val="000000"/>
          <w:sz w:val="32"/>
          <w:szCs w:val="32"/>
        </w:rPr>
        <w:t>.</w:t>
      </w:r>
      <w:r>
        <w:rPr>
          <w:rFonts w:ascii="Times New Roman" w:hAnsi="Times New Roman" w:eastAsia="仿宋" w:cs="Times New Roman"/>
          <w:color w:val="auto"/>
          <w:sz w:val="32"/>
          <w:szCs w:val="32"/>
          <w:shd w:val="clear" w:color="auto" w:fill="FFFFFF"/>
        </w:rPr>
        <w:t>低倍组织</w:t>
      </w:r>
    </w:p>
    <w:p>
      <w:pPr>
        <w:pStyle w:val="2"/>
        <w:keepNext w:val="0"/>
        <w:keepLines w:val="0"/>
        <w:pageBreakBefore w:val="0"/>
        <w:widowControl w:val="0"/>
        <w:kinsoku/>
        <w:wordWrap/>
        <w:overflowPunct/>
        <w:topLinePunct w:val="0"/>
        <w:autoSpaceDE/>
        <w:autoSpaceDN/>
        <w:bidi w:val="0"/>
        <w:adjustRightInd w:val="0"/>
        <w:snapToGrid w:val="0"/>
        <w:spacing w:after="0" w:line="560" w:lineRule="exact"/>
        <w:ind w:left="0" w:leftChars="0" w:right="0" w:rightChars="0" w:firstLine="640" w:firstLineChars="200"/>
        <w:textAlignment w:val="auto"/>
        <w:rPr>
          <w:rFonts w:ascii="Times New Roman" w:hAnsi="Times New Roman" w:eastAsia="仿宋" w:cs="Times New Roman"/>
          <w:color w:val="auto"/>
          <w:sz w:val="32"/>
          <w:szCs w:val="32"/>
          <w:shd w:val="clear" w:color="auto" w:fill="FFFFFF"/>
        </w:rPr>
      </w:pPr>
      <w:r>
        <w:rPr>
          <w:rFonts w:hint="eastAsia" w:ascii="汉仪书宋二S" w:hAnsi="汉仪书宋二S" w:eastAsia="汉仪书宋二S" w:cs="汉仪书宋二S"/>
          <w:color w:val="auto"/>
          <w:sz w:val="32"/>
          <w:szCs w:val="32"/>
          <w:shd w:val="clear" w:color="auto" w:fill="FFFFFF"/>
        </w:rPr>
        <w:t>①</w:t>
      </w:r>
      <w:r>
        <w:rPr>
          <w:rFonts w:ascii="Times New Roman" w:hAnsi="Times New Roman" w:eastAsia="仿宋" w:cs="Times New Roman"/>
          <w:color w:val="auto"/>
          <w:sz w:val="32"/>
          <w:szCs w:val="32"/>
          <w:shd w:val="clear" w:color="auto" w:fill="FFFFFF"/>
        </w:rPr>
        <w:t>低倍组织上不应有裂纹、折叠、偏析、气孔等肉眼可见的冶金缺陷。</w:t>
      </w:r>
    </w:p>
    <w:p>
      <w:pPr>
        <w:pStyle w:val="2"/>
        <w:keepNext w:val="0"/>
        <w:keepLines w:val="0"/>
        <w:pageBreakBefore w:val="0"/>
        <w:widowControl w:val="0"/>
        <w:kinsoku/>
        <w:wordWrap/>
        <w:overflowPunct/>
        <w:topLinePunct w:val="0"/>
        <w:autoSpaceDE/>
        <w:autoSpaceDN/>
        <w:bidi w:val="0"/>
        <w:adjustRightInd w:val="0"/>
        <w:snapToGrid w:val="0"/>
        <w:spacing w:after="0" w:line="560" w:lineRule="exact"/>
        <w:ind w:left="0" w:leftChars="0" w:right="0" w:rightChars="0" w:firstLine="640" w:firstLineChars="200"/>
        <w:textAlignment w:val="auto"/>
        <w:rPr>
          <w:rFonts w:ascii="Times New Roman" w:hAnsi="Times New Roman" w:eastAsia="仿宋" w:cs="Times New Roman"/>
          <w:color w:val="auto"/>
          <w:sz w:val="32"/>
          <w:szCs w:val="32"/>
          <w:shd w:val="clear" w:color="auto" w:fill="FFFFFF"/>
        </w:rPr>
      </w:pPr>
      <w:r>
        <w:rPr>
          <w:rFonts w:hint="eastAsia" w:ascii="汉仪书宋二S" w:hAnsi="汉仪书宋二S" w:eastAsia="汉仪书宋二S" w:cs="汉仪书宋二S"/>
          <w:color w:val="auto"/>
          <w:sz w:val="32"/>
          <w:szCs w:val="32"/>
          <w:shd w:val="clear" w:color="auto" w:fill="FFFFFF"/>
        </w:rPr>
        <w:t>②</w:t>
      </w:r>
      <w:r>
        <w:rPr>
          <w:rFonts w:ascii="Times New Roman" w:hAnsi="Times New Roman" w:eastAsia="仿宋" w:cs="Times New Roman"/>
          <w:color w:val="auto"/>
          <w:sz w:val="32"/>
          <w:szCs w:val="32"/>
          <w:shd w:val="clear" w:color="auto" w:fill="FFFFFF"/>
        </w:rPr>
        <w:t>在低倍组织检验中如果认为有偏析，则应对异议区进行微区化学成分分析，若微区化学成分合格，则产品判为合格</w:t>
      </w:r>
      <w:r>
        <w:rPr>
          <w:rFonts w:hint="eastAsia" w:ascii="仿宋" w:hAnsi="仿宋" w:eastAsia="仿宋" w:cs="仿宋"/>
          <w:color w:val="000000" w:themeColor="text1"/>
          <w:sz w:val="32"/>
          <w:szCs w:val="32"/>
          <w14:textFill>
            <w14:solidFill>
              <w14:schemeClr w14:val="tx1"/>
            </w14:solidFill>
          </w14:textFill>
        </w:rPr>
        <w:t>；</w:t>
      </w:r>
      <w:r>
        <w:rPr>
          <w:rFonts w:ascii="Times New Roman" w:hAnsi="Times New Roman" w:eastAsia="仿宋" w:cs="Times New Roman"/>
          <w:color w:val="auto"/>
          <w:sz w:val="32"/>
          <w:szCs w:val="32"/>
          <w:shd w:val="clear" w:color="auto" w:fill="FFFFFF"/>
        </w:rPr>
        <w:t>若微区化学成分不合格，则产品判为偏析。</w:t>
      </w:r>
    </w:p>
    <w:p>
      <w:pPr>
        <w:pStyle w:val="2"/>
        <w:keepNext w:val="0"/>
        <w:keepLines w:val="0"/>
        <w:pageBreakBefore w:val="0"/>
        <w:widowControl w:val="0"/>
        <w:kinsoku/>
        <w:wordWrap/>
        <w:overflowPunct/>
        <w:topLinePunct w:val="0"/>
        <w:autoSpaceDE/>
        <w:autoSpaceDN/>
        <w:bidi w:val="0"/>
        <w:adjustRightInd w:val="0"/>
        <w:snapToGrid w:val="0"/>
        <w:spacing w:after="0" w:line="560" w:lineRule="exact"/>
        <w:ind w:left="0" w:leftChars="0" w:right="0" w:rightChars="0" w:firstLine="640" w:firstLineChars="200"/>
        <w:textAlignment w:val="auto"/>
        <w:rPr>
          <w:rFonts w:ascii="Times New Roman" w:hAnsi="Times New Roman" w:eastAsia="仿宋" w:cs="Times New Roman"/>
          <w:color w:val="auto"/>
          <w:sz w:val="32"/>
          <w:szCs w:val="32"/>
          <w:shd w:val="clear" w:color="auto" w:fill="FFFFFF"/>
        </w:rPr>
      </w:pPr>
      <w:r>
        <w:rPr>
          <w:rFonts w:hint="eastAsia" w:ascii="汉仪书宋二S" w:hAnsi="汉仪书宋二S" w:eastAsia="汉仪书宋二S" w:cs="汉仪书宋二S"/>
          <w:color w:val="auto"/>
          <w:sz w:val="32"/>
          <w:szCs w:val="32"/>
          <w:shd w:val="clear" w:color="auto" w:fill="FFFFFF"/>
        </w:rPr>
        <w:t>③</w:t>
      </w:r>
      <w:r>
        <w:rPr>
          <w:rFonts w:ascii="Times New Roman" w:hAnsi="Times New Roman" w:eastAsia="仿宋" w:cs="Times New Roman"/>
          <w:color w:val="auto"/>
          <w:sz w:val="32"/>
          <w:szCs w:val="32"/>
          <w:shd w:val="clear" w:color="auto" w:fill="FFFFFF"/>
        </w:rPr>
        <w:t>低倍组织应按标准评级图进行评级，晶粒度不大于</w:t>
      </w:r>
      <w:r>
        <w:rPr>
          <w:rFonts w:hint="eastAsia" w:ascii="仿宋" w:hAnsi="仿宋" w:eastAsia="仿宋" w:cs="仿宋"/>
          <w:color w:val="000000"/>
          <w:kern w:val="2"/>
          <w:sz w:val="32"/>
          <w:szCs w:val="32"/>
          <w:lang w:val="en-US" w:eastAsia="zh-CN" w:bidi="ar-SA"/>
        </w:rPr>
        <w:t>7</w:t>
      </w:r>
      <w:r>
        <w:rPr>
          <w:rFonts w:ascii="Times New Roman" w:hAnsi="Times New Roman" w:eastAsia="仿宋" w:cs="Times New Roman"/>
          <w:color w:val="auto"/>
          <w:sz w:val="32"/>
          <w:szCs w:val="32"/>
          <w:shd w:val="clear" w:color="auto" w:fill="FFFFFF"/>
        </w:rPr>
        <w:t>级。</w:t>
      </w:r>
    </w:p>
    <w:p>
      <w:pPr>
        <w:pStyle w:val="2"/>
        <w:keepNext w:val="0"/>
        <w:keepLines w:val="0"/>
        <w:pageBreakBefore w:val="0"/>
        <w:widowControl w:val="0"/>
        <w:kinsoku/>
        <w:wordWrap/>
        <w:overflowPunct/>
        <w:topLinePunct w:val="0"/>
        <w:autoSpaceDE/>
        <w:autoSpaceDN/>
        <w:bidi w:val="0"/>
        <w:adjustRightInd w:val="0"/>
        <w:snapToGrid w:val="0"/>
        <w:spacing w:after="0" w:line="560" w:lineRule="exact"/>
        <w:ind w:left="0" w:leftChars="0" w:right="0" w:rightChars="0" w:firstLine="640" w:firstLineChars="200"/>
        <w:textAlignment w:val="auto"/>
        <w:rPr>
          <w:rFonts w:ascii="Times New Roman" w:hAnsi="Times New Roman" w:eastAsia="仿宋" w:cs="Times New Roman"/>
          <w:color w:val="auto"/>
          <w:sz w:val="32"/>
          <w:szCs w:val="32"/>
          <w:shd w:val="clear" w:color="auto" w:fill="FFFFFF"/>
        </w:rPr>
      </w:pPr>
      <w:r>
        <w:rPr>
          <w:rStyle w:val="9"/>
          <w:rFonts w:hint="default" w:ascii="仿宋" w:hAnsi="仿宋" w:eastAsia="仿宋" w:cs="仿宋"/>
          <w:color w:val="000000"/>
          <w:sz w:val="32"/>
          <w:szCs w:val="32"/>
        </w:rPr>
        <w:t>2.</w:t>
      </w:r>
      <w:r>
        <w:rPr>
          <w:rFonts w:ascii="Times New Roman" w:hAnsi="Times New Roman" w:eastAsia="仿宋" w:cs="Times New Roman"/>
          <w:color w:val="auto"/>
          <w:sz w:val="32"/>
          <w:szCs w:val="32"/>
          <w:shd w:val="clear" w:color="auto" w:fill="FFFFFF"/>
        </w:rPr>
        <w:t>显微组织</w:t>
      </w:r>
    </w:p>
    <w:p>
      <w:pPr>
        <w:pStyle w:val="2"/>
        <w:keepNext w:val="0"/>
        <w:keepLines w:val="0"/>
        <w:pageBreakBefore w:val="0"/>
        <w:widowControl w:val="0"/>
        <w:kinsoku/>
        <w:wordWrap/>
        <w:overflowPunct/>
        <w:topLinePunct w:val="0"/>
        <w:autoSpaceDE/>
        <w:autoSpaceDN/>
        <w:bidi w:val="0"/>
        <w:adjustRightInd w:val="0"/>
        <w:snapToGrid w:val="0"/>
        <w:spacing w:after="0" w:line="560" w:lineRule="exact"/>
        <w:ind w:left="0" w:leftChars="0" w:right="0" w:rightChars="0" w:firstLine="640" w:firstLineChars="200"/>
        <w:textAlignment w:val="auto"/>
        <w:rPr>
          <w:rFonts w:ascii="Times New Roman" w:hAnsi="Times New Roman" w:eastAsia="仿宋" w:cs="Times New Roman"/>
          <w:color w:val="auto"/>
          <w:sz w:val="32"/>
          <w:szCs w:val="32"/>
          <w:shd w:val="clear" w:color="auto" w:fill="FFFFFF"/>
        </w:rPr>
      </w:pPr>
      <w:r>
        <w:rPr>
          <w:rFonts w:hint="eastAsia" w:ascii="汉仪书宋二S" w:hAnsi="汉仪书宋二S" w:eastAsia="汉仪书宋二S" w:cs="汉仪书宋二S"/>
          <w:color w:val="auto"/>
          <w:sz w:val="32"/>
          <w:szCs w:val="32"/>
          <w:shd w:val="clear" w:color="auto" w:fill="FFFFFF"/>
        </w:rPr>
        <w:t>①</w:t>
      </w:r>
      <w:r>
        <w:rPr>
          <w:rFonts w:ascii="Times New Roman" w:hAnsi="Times New Roman" w:eastAsia="仿宋" w:cs="Times New Roman"/>
          <w:color w:val="auto"/>
          <w:sz w:val="32"/>
          <w:szCs w:val="32"/>
          <w:shd w:val="clear" w:color="auto" w:fill="FFFFFF"/>
        </w:rPr>
        <w:t>锻件显微</w:t>
      </w:r>
      <w:r>
        <w:rPr>
          <w:rStyle w:val="9"/>
          <w:rFonts w:hint="default" w:ascii="仿宋" w:hAnsi="仿宋" w:eastAsia="仿宋" w:cs="仿宋"/>
          <w:color w:val="000000"/>
          <w:sz w:val="32"/>
          <w:szCs w:val="32"/>
        </w:rPr>
        <w:t>组织应是α相或α+β相组成的均匀组织，即α基体或由转变β相和等轴或条状初生α相组成。初生α相含量不少于5%。所有β晶界α应充分破碎，不允许存在连续、平直的晶界α相。</w:t>
      </w:r>
    </w:p>
    <w:p>
      <w:pPr>
        <w:pStyle w:val="2"/>
        <w:keepNext w:val="0"/>
        <w:keepLines w:val="0"/>
        <w:pageBreakBefore w:val="0"/>
        <w:widowControl w:val="0"/>
        <w:kinsoku/>
        <w:wordWrap/>
        <w:overflowPunct/>
        <w:topLinePunct w:val="0"/>
        <w:autoSpaceDE/>
        <w:autoSpaceDN/>
        <w:bidi w:val="0"/>
        <w:adjustRightInd w:val="0"/>
        <w:snapToGrid w:val="0"/>
        <w:spacing w:after="0" w:line="560" w:lineRule="exact"/>
        <w:ind w:left="0" w:leftChars="0" w:right="0" w:rightChars="0" w:firstLine="640" w:firstLineChars="200"/>
        <w:textAlignment w:val="auto"/>
        <w:rPr>
          <w:rFonts w:ascii="Times New Roman" w:hAnsi="Times New Roman" w:eastAsia="仿宋" w:cs="Times New Roman"/>
          <w:color w:val="auto"/>
          <w:sz w:val="32"/>
          <w:szCs w:val="32"/>
          <w:shd w:val="clear" w:color="auto" w:fill="FFFFFF"/>
        </w:rPr>
      </w:pPr>
      <w:r>
        <w:rPr>
          <w:rFonts w:hint="eastAsia" w:ascii="汉仪书宋二S" w:hAnsi="汉仪书宋二S" w:eastAsia="汉仪书宋二S" w:cs="汉仪书宋二S"/>
          <w:color w:val="auto"/>
          <w:sz w:val="32"/>
          <w:szCs w:val="32"/>
          <w:shd w:val="clear" w:color="auto" w:fill="FFFFFF"/>
        </w:rPr>
        <w:t>②</w:t>
      </w:r>
      <w:r>
        <w:rPr>
          <w:rStyle w:val="9"/>
          <w:rFonts w:hint="default" w:ascii="仿宋" w:hAnsi="仿宋" w:eastAsia="仿宋" w:cs="仿宋"/>
          <w:color w:val="000000"/>
          <w:sz w:val="32"/>
          <w:szCs w:val="32"/>
        </w:rPr>
        <w:t>TC2</w:t>
      </w:r>
      <w:r>
        <w:rPr>
          <w:rFonts w:ascii="Times New Roman" w:hAnsi="Times New Roman" w:eastAsia="仿宋" w:cs="Times New Roman"/>
          <w:color w:val="auto"/>
          <w:sz w:val="32"/>
          <w:szCs w:val="32"/>
          <w:shd w:val="clear" w:color="auto" w:fill="FFFFFF"/>
        </w:rPr>
        <w:t>锻件按标</w:t>
      </w:r>
      <w:r>
        <w:rPr>
          <w:rStyle w:val="9"/>
          <w:rFonts w:hint="default" w:ascii="仿宋" w:hAnsi="仿宋" w:eastAsia="仿宋" w:cs="仿宋"/>
          <w:color w:val="000000"/>
          <w:sz w:val="32"/>
          <w:szCs w:val="32"/>
        </w:rPr>
        <w:t>准备评级图进行评级，1类-4类为合格组织，5类-9类为</w:t>
      </w:r>
      <w:r>
        <w:rPr>
          <w:rStyle w:val="9"/>
          <w:rFonts w:hint="eastAsia" w:ascii="仿宋" w:hAnsi="仿宋" w:eastAsia="仿宋" w:cs="仿宋"/>
          <w:color w:val="000000"/>
          <w:sz w:val="32"/>
          <w:szCs w:val="32"/>
        </w:rPr>
        <w:t>不</w:t>
      </w:r>
      <w:r>
        <w:rPr>
          <w:rFonts w:ascii="Times New Roman" w:hAnsi="Times New Roman" w:eastAsia="仿宋" w:cs="Times New Roman"/>
          <w:color w:val="auto"/>
          <w:sz w:val="32"/>
          <w:szCs w:val="32"/>
          <w:shd w:val="clear" w:color="auto" w:fill="FFFFFF"/>
        </w:rPr>
        <w:t>合格组织。</w:t>
      </w:r>
    </w:p>
    <w:p>
      <w:pPr>
        <w:pStyle w:val="2"/>
        <w:keepNext w:val="0"/>
        <w:keepLines w:val="0"/>
        <w:pageBreakBefore w:val="0"/>
        <w:widowControl w:val="0"/>
        <w:kinsoku/>
        <w:wordWrap/>
        <w:overflowPunct/>
        <w:topLinePunct w:val="0"/>
        <w:autoSpaceDE/>
        <w:autoSpaceDN/>
        <w:bidi w:val="0"/>
        <w:adjustRightInd w:val="0"/>
        <w:snapToGrid w:val="0"/>
        <w:spacing w:after="0" w:line="560" w:lineRule="exact"/>
        <w:ind w:left="0" w:leftChars="0" w:right="0" w:rightChars="0" w:firstLine="640" w:firstLineChars="200"/>
        <w:textAlignment w:val="auto"/>
        <w:rPr>
          <w:rStyle w:val="9"/>
          <w:rFonts w:hint="default" w:ascii="仿宋" w:hAnsi="仿宋" w:eastAsia="仿宋" w:cs="仿宋"/>
          <w:color w:val="000000"/>
          <w:sz w:val="32"/>
          <w:szCs w:val="32"/>
        </w:rPr>
      </w:pPr>
      <w:r>
        <w:rPr>
          <w:rStyle w:val="9"/>
          <w:rFonts w:hint="default" w:ascii="仿宋" w:hAnsi="仿宋" w:eastAsia="仿宋" w:cs="仿宋"/>
          <w:color w:val="000000"/>
          <w:sz w:val="32"/>
          <w:szCs w:val="32"/>
        </w:rPr>
        <w:t>3.表面腐蚀</w:t>
      </w:r>
    </w:p>
    <w:p>
      <w:pPr>
        <w:pStyle w:val="2"/>
        <w:keepNext w:val="0"/>
        <w:keepLines w:val="0"/>
        <w:pageBreakBefore w:val="0"/>
        <w:widowControl w:val="0"/>
        <w:kinsoku/>
        <w:wordWrap/>
        <w:overflowPunct/>
        <w:topLinePunct w:val="0"/>
        <w:autoSpaceDE/>
        <w:autoSpaceDN/>
        <w:bidi w:val="0"/>
        <w:adjustRightInd w:val="0"/>
        <w:snapToGrid w:val="0"/>
        <w:spacing w:after="0" w:line="560" w:lineRule="exact"/>
        <w:ind w:left="0" w:leftChars="0" w:right="0" w:rightChars="0" w:firstLine="640" w:firstLineChars="200"/>
        <w:textAlignment w:val="auto"/>
        <w:rPr>
          <w:rFonts w:ascii="Times New Roman" w:hAnsi="Times New Roman" w:eastAsia="仿宋" w:cs="Times New Roman"/>
          <w:color w:val="auto"/>
          <w:sz w:val="32"/>
          <w:szCs w:val="32"/>
          <w:shd w:val="clear" w:color="auto" w:fill="FFFFFF"/>
        </w:rPr>
      </w:pPr>
      <w:r>
        <w:rPr>
          <w:rStyle w:val="9"/>
          <w:rFonts w:hint="default" w:ascii="仿宋" w:hAnsi="仿宋" w:eastAsia="仿宋" w:cs="仿宋"/>
          <w:color w:val="000000"/>
          <w:sz w:val="32"/>
          <w:szCs w:val="32"/>
        </w:rPr>
        <w:t>锻件经粗加工后进行全表面腐蚀检查，按10级标准评级图测定锻件腐蚀表面的晶粒度不应超过7级</w:t>
      </w:r>
      <w:r>
        <w:rPr>
          <w:rFonts w:ascii="Times New Roman" w:hAnsi="Times New Roman" w:eastAsia="仿宋" w:cs="Times New Roman"/>
          <w:color w:val="auto"/>
          <w:sz w:val="32"/>
          <w:szCs w:val="32"/>
          <w:shd w:val="clear" w:color="auto" w:fill="FFFFFF"/>
        </w:rPr>
        <w:t>。</w:t>
      </w:r>
    </w:p>
    <w:p>
      <w:pPr>
        <w:pStyle w:val="2"/>
        <w:keepNext w:val="0"/>
        <w:keepLines w:val="0"/>
        <w:pageBreakBefore w:val="0"/>
        <w:widowControl w:val="0"/>
        <w:kinsoku/>
        <w:wordWrap/>
        <w:overflowPunct/>
        <w:topLinePunct w:val="0"/>
        <w:autoSpaceDE/>
        <w:autoSpaceDN/>
        <w:bidi w:val="0"/>
        <w:adjustRightInd w:val="0"/>
        <w:snapToGrid w:val="0"/>
        <w:spacing w:after="0" w:line="560" w:lineRule="exact"/>
        <w:ind w:left="0" w:leftChars="0" w:right="0" w:rightChars="0" w:firstLine="640" w:firstLineChars="200"/>
        <w:textAlignment w:val="auto"/>
        <w:rPr>
          <w:rStyle w:val="9"/>
          <w:rFonts w:hint="default" w:ascii="仿宋" w:hAnsi="仿宋" w:eastAsia="仿宋" w:cs="仿宋"/>
          <w:color w:val="000000"/>
          <w:sz w:val="32"/>
          <w:szCs w:val="32"/>
        </w:rPr>
      </w:pPr>
      <w:r>
        <w:rPr>
          <w:rStyle w:val="9"/>
          <w:rFonts w:hint="default" w:ascii="仿宋" w:hAnsi="仿宋" w:eastAsia="仿宋" w:cs="仿宋"/>
          <w:color w:val="000000"/>
          <w:sz w:val="32"/>
          <w:szCs w:val="32"/>
        </w:rPr>
        <w:t>4.力学性能</w:t>
      </w:r>
    </w:p>
    <w:p>
      <w:pPr>
        <w:pStyle w:val="2"/>
        <w:keepNext w:val="0"/>
        <w:keepLines w:val="0"/>
        <w:pageBreakBefore w:val="0"/>
        <w:widowControl w:val="0"/>
        <w:kinsoku/>
        <w:wordWrap/>
        <w:overflowPunct/>
        <w:topLinePunct w:val="0"/>
        <w:autoSpaceDE/>
        <w:autoSpaceDN/>
        <w:bidi w:val="0"/>
        <w:adjustRightInd w:val="0"/>
        <w:snapToGrid w:val="0"/>
        <w:spacing w:after="0" w:line="560" w:lineRule="exact"/>
        <w:ind w:left="0" w:leftChars="0" w:right="0" w:rightChars="0" w:firstLine="640" w:firstLineChars="200"/>
        <w:textAlignment w:val="auto"/>
        <w:rPr>
          <w:rStyle w:val="9"/>
          <w:rFonts w:hint="default" w:ascii="仿宋" w:hAnsi="仿宋" w:eastAsia="仿宋" w:cs="仿宋"/>
          <w:color w:val="000000"/>
          <w:sz w:val="32"/>
          <w:szCs w:val="32"/>
        </w:rPr>
      </w:pPr>
      <w:r>
        <w:rPr>
          <w:rStyle w:val="9"/>
          <w:rFonts w:hint="default" w:ascii="仿宋" w:hAnsi="仿宋" w:eastAsia="仿宋" w:cs="仿宋"/>
          <w:color w:val="000000"/>
          <w:sz w:val="32"/>
          <w:szCs w:val="32"/>
        </w:rPr>
        <w:t>每验收批取1件锻件在本体上切取试环，在试环上切取弦向试样进行室温拉伸、高温拉伸、高温持久、冲击、硬度测试，指标应符合表1、表2的规定。</w:t>
      </w:r>
    </w:p>
    <w:p>
      <w:pPr>
        <w:pStyle w:val="2"/>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jc w:val="center"/>
        <w:textAlignment w:val="auto"/>
        <w:rPr>
          <w:rFonts w:hint="eastAsia" w:ascii="Times New Roman" w:hAnsi="Times New Roman" w:eastAsia="仿宋" w:cs="Times New Roman"/>
          <w:color w:val="auto"/>
          <w:sz w:val="21"/>
          <w:szCs w:val="21"/>
          <w:shd w:val="clear" w:color="auto" w:fill="FFFFFF"/>
        </w:rPr>
      </w:pPr>
      <w:r>
        <w:rPr>
          <w:rFonts w:hint="eastAsia" w:ascii="Times New Roman" w:hAnsi="Times New Roman" w:eastAsia="仿宋" w:cs="Times New Roman"/>
          <w:color w:val="auto"/>
          <w:sz w:val="21"/>
          <w:szCs w:val="21"/>
          <w:shd w:val="clear" w:color="auto" w:fill="FFFFFF"/>
        </w:rPr>
        <w:t>表1 室温力学性能(纵向)</w:t>
      </w:r>
    </w:p>
    <w:tbl>
      <w:tblPr>
        <w:tblStyle w:val="6"/>
        <w:tblW w:w="8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9"/>
        <w:gridCol w:w="1416"/>
        <w:gridCol w:w="1132"/>
        <w:gridCol w:w="1273"/>
        <w:gridCol w:w="1284"/>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269" w:type="dxa"/>
            <w:vAlign w:val="center"/>
          </w:tcPr>
          <w:p>
            <w:pPr>
              <w:pStyle w:val="2"/>
              <w:keepNext w:val="0"/>
              <w:keepLines w:val="0"/>
              <w:pageBreakBefore w:val="0"/>
              <w:widowControl w:val="0"/>
              <w:kinsoku/>
              <w:wordWrap/>
              <w:overflowPunct/>
              <w:topLinePunct w:val="0"/>
              <w:autoSpaceDE/>
              <w:autoSpaceDN/>
              <w:bidi w:val="0"/>
              <w:adjustRightInd w:val="0"/>
              <w:snapToGrid w:val="0"/>
              <w:spacing w:after="0" w:line="560" w:lineRule="exact"/>
              <w:ind w:left="0" w:leftChars="0" w:right="0" w:rightChars="0"/>
              <w:jc w:val="center"/>
              <w:textAlignment w:val="auto"/>
              <w:rPr>
                <w:rFonts w:ascii="Times New Roman" w:hAnsi="Times New Roman" w:eastAsia="仿宋" w:cs="Times New Roman"/>
                <w:sz w:val="21"/>
                <w:szCs w:val="21"/>
              </w:rPr>
            </w:pPr>
            <w:r>
              <w:rPr>
                <w:rFonts w:ascii="Times New Roman" w:hAnsi="Times New Roman" w:eastAsia="仿宋" w:cs="Times New Roman"/>
                <w:sz w:val="21"/>
                <w:szCs w:val="21"/>
              </w:rPr>
              <w:t>合金牌号</w:t>
            </w:r>
          </w:p>
        </w:tc>
        <w:tc>
          <w:tcPr>
            <w:tcW w:w="1416" w:type="dxa"/>
            <w:vAlign w:val="center"/>
          </w:tcPr>
          <w:p>
            <w:pPr>
              <w:pStyle w:val="2"/>
              <w:keepNext w:val="0"/>
              <w:keepLines w:val="0"/>
              <w:pageBreakBefore w:val="0"/>
              <w:widowControl w:val="0"/>
              <w:kinsoku/>
              <w:wordWrap/>
              <w:overflowPunct/>
              <w:topLinePunct w:val="0"/>
              <w:autoSpaceDE/>
              <w:autoSpaceDN/>
              <w:bidi w:val="0"/>
              <w:adjustRightInd w:val="0"/>
              <w:snapToGrid w:val="0"/>
              <w:spacing w:after="0" w:line="560" w:lineRule="exact"/>
              <w:ind w:left="0" w:leftChars="0" w:right="0" w:rightChars="0"/>
              <w:jc w:val="center"/>
              <w:textAlignment w:val="auto"/>
              <w:rPr>
                <w:rFonts w:ascii="Times New Roman" w:hAnsi="Times New Roman" w:eastAsia="仿宋" w:cs="Times New Roman"/>
                <w:sz w:val="21"/>
                <w:szCs w:val="21"/>
              </w:rPr>
            </w:pPr>
            <w:r>
              <w:rPr>
                <w:rFonts w:ascii="Times New Roman" w:hAnsi="Times New Roman" w:eastAsia="仿宋" w:cs="Times New Roman"/>
                <w:sz w:val="21"/>
                <w:szCs w:val="21"/>
              </w:rPr>
              <w:t>Rm/Mpa</w:t>
            </w:r>
          </w:p>
        </w:tc>
        <w:tc>
          <w:tcPr>
            <w:tcW w:w="1132" w:type="dxa"/>
            <w:vAlign w:val="center"/>
          </w:tcPr>
          <w:p>
            <w:pPr>
              <w:pStyle w:val="2"/>
              <w:keepNext w:val="0"/>
              <w:keepLines w:val="0"/>
              <w:pageBreakBefore w:val="0"/>
              <w:widowControl w:val="0"/>
              <w:kinsoku/>
              <w:wordWrap/>
              <w:overflowPunct/>
              <w:topLinePunct w:val="0"/>
              <w:autoSpaceDE/>
              <w:autoSpaceDN/>
              <w:bidi w:val="0"/>
              <w:adjustRightInd w:val="0"/>
              <w:snapToGrid w:val="0"/>
              <w:spacing w:after="0" w:line="560" w:lineRule="exact"/>
              <w:ind w:left="0" w:leftChars="0" w:right="0" w:rightChars="0"/>
              <w:jc w:val="center"/>
              <w:textAlignment w:val="auto"/>
              <w:rPr>
                <w:rFonts w:ascii="Times New Roman" w:hAnsi="Times New Roman" w:eastAsia="仿宋" w:cs="Times New Roman"/>
                <w:sz w:val="21"/>
                <w:szCs w:val="21"/>
              </w:rPr>
            </w:pPr>
            <w:r>
              <w:rPr>
                <w:rFonts w:ascii="Times New Roman" w:hAnsi="Times New Roman" w:eastAsia="仿宋" w:cs="Times New Roman"/>
                <w:sz w:val="21"/>
                <w:szCs w:val="21"/>
              </w:rPr>
              <w:t>A/%</w:t>
            </w:r>
          </w:p>
        </w:tc>
        <w:tc>
          <w:tcPr>
            <w:tcW w:w="1273" w:type="dxa"/>
            <w:vAlign w:val="center"/>
          </w:tcPr>
          <w:p>
            <w:pPr>
              <w:pStyle w:val="2"/>
              <w:keepNext w:val="0"/>
              <w:keepLines w:val="0"/>
              <w:pageBreakBefore w:val="0"/>
              <w:widowControl w:val="0"/>
              <w:kinsoku/>
              <w:wordWrap/>
              <w:overflowPunct/>
              <w:topLinePunct w:val="0"/>
              <w:autoSpaceDE/>
              <w:autoSpaceDN/>
              <w:bidi w:val="0"/>
              <w:adjustRightInd w:val="0"/>
              <w:snapToGrid w:val="0"/>
              <w:spacing w:after="0" w:line="560" w:lineRule="exact"/>
              <w:ind w:left="0" w:leftChars="0" w:right="0" w:rightChars="0"/>
              <w:jc w:val="center"/>
              <w:textAlignment w:val="auto"/>
              <w:rPr>
                <w:rFonts w:ascii="Times New Roman" w:hAnsi="Times New Roman" w:eastAsia="仿宋" w:cs="Times New Roman"/>
                <w:sz w:val="21"/>
                <w:szCs w:val="21"/>
              </w:rPr>
            </w:pPr>
            <w:r>
              <w:rPr>
                <w:rFonts w:ascii="Times New Roman" w:hAnsi="Times New Roman" w:eastAsia="仿宋" w:cs="Times New Roman"/>
                <w:sz w:val="21"/>
                <w:szCs w:val="21"/>
              </w:rPr>
              <w:t>Z/%</w:t>
            </w:r>
          </w:p>
        </w:tc>
        <w:tc>
          <w:tcPr>
            <w:tcW w:w="1284" w:type="dxa"/>
            <w:vAlign w:val="center"/>
          </w:tcPr>
          <w:p>
            <w:pPr>
              <w:pStyle w:val="2"/>
              <w:keepNext w:val="0"/>
              <w:keepLines w:val="0"/>
              <w:pageBreakBefore w:val="0"/>
              <w:widowControl w:val="0"/>
              <w:kinsoku/>
              <w:wordWrap/>
              <w:overflowPunct/>
              <w:topLinePunct w:val="0"/>
              <w:autoSpaceDE/>
              <w:autoSpaceDN/>
              <w:bidi w:val="0"/>
              <w:adjustRightInd w:val="0"/>
              <w:snapToGrid w:val="0"/>
              <w:spacing w:after="0" w:line="560" w:lineRule="exact"/>
              <w:ind w:left="0" w:leftChars="0" w:right="0" w:rightChars="0"/>
              <w:jc w:val="center"/>
              <w:textAlignment w:val="auto"/>
              <w:rPr>
                <w:rFonts w:ascii="Times New Roman" w:hAnsi="Times New Roman" w:eastAsia="仿宋" w:cs="Times New Roman"/>
                <w:sz w:val="21"/>
                <w:szCs w:val="21"/>
                <w:vertAlign w:val="superscript"/>
              </w:rPr>
            </w:pPr>
            <w:r>
              <w:rPr>
                <w:rFonts w:ascii="Times New Roman" w:hAnsi="Times New Roman" w:eastAsia="仿宋" w:cs="Times New Roman"/>
                <w:sz w:val="21"/>
                <w:szCs w:val="21"/>
              </w:rPr>
              <w:t>a</w:t>
            </w:r>
            <w:r>
              <w:rPr>
                <w:rFonts w:ascii="Times New Roman" w:hAnsi="Times New Roman" w:eastAsia="仿宋" w:cs="Times New Roman"/>
                <w:sz w:val="21"/>
                <w:szCs w:val="21"/>
                <w:vertAlign w:val="subscript"/>
              </w:rPr>
              <w:t>m</w:t>
            </w:r>
            <w:r>
              <w:rPr>
                <w:rFonts w:ascii="Times New Roman" w:hAnsi="Times New Roman" w:eastAsia="仿宋" w:cs="Times New Roman"/>
                <w:sz w:val="21"/>
                <w:szCs w:val="21"/>
              </w:rPr>
              <w:t>/J/cm</w:t>
            </w:r>
            <w:r>
              <w:rPr>
                <w:rFonts w:ascii="Times New Roman" w:hAnsi="Times New Roman" w:eastAsia="仿宋" w:cs="Times New Roman"/>
                <w:sz w:val="21"/>
                <w:szCs w:val="21"/>
                <w:vertAlign w:val="superscript"/>
              </w:rPr>
              <w:t>2</w:t>
            </w:r>
          </w:p>
        </w:tc>
        <w:tc>
          <w:tcPr>
            <w:tcW w:w="1985" w:type="dxa"/>
            <w:vAlign w:val="center"/>
          </w:tcPr>
          <w:p>
            <w:pPr>
              <w:pStyle w:val="2"/>
              <w:keepNext w:val="0"/>
              <w:keepLines w:val="0"/>
              <w:pageBreakBefore w:val="0"/>
              <w:widowControl w:val="0"/>
              <w:kinsoku/>
              <w:wordWrap/>
              <w:overflowPunct/>
              <w:topLinePunct w:val="0"/>
              <w:autoSpaceDE/>
              <w:autoSpaceDN/>
              <w:bidi w:val="0"/>
              <w:adjustRightInd w:val="0"/>
              <w:snapToGrid w:val="0"/>
              <w:spacing w:after="0" w:line="560" w:lineRule="exact"/>
              <w:ind w:left="0" w:leftChars="0" w:right="0" w:rightChars="0"/>
              <w:jc w:val="center"/>
              <w:textAlignment w:val="auto"/>
              <w:rPr>
                <w:rFonts w:ascii="Times New Roman" w:hAnsi="Times New Roman" w:eastAsia="仿宋" w:cs="Times New Roman"/>
                <w:sz w:val="21"/>
                <w:szCs w:val="21"/>
              </w:rPr>
            </w:pPr>
            <w:r>
              <w:rPr>
                <w:rFonts w:ascii="Times New Roman" w:hAnsi="Times New Roman" w:eastAsia="仿宋" w:cs="Times New Roman"/>
                <w:sz w:val="21"/>
                <w:szCs w:val="21"/>
              </w:rPr>
              <w:t>HB(d)/mm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269" w:type="dxa"/>
            <w:vAlign w:val="center"/>
          </w:tcPr>
          <w:p>
            <w:pPr>
              <w:pStyle w:val="2"/>
              <w:keepNext w:val="0"/>
              <w:keepLines w:val="0"/>
              <w:pageBreakBefore w:val="0"/>
              <w:widowControl w:val="0"/>
              <w:kinsoku/>
              <w:wordWrap/>
              <w:overflowPunct/>
              <w:topLinePunct w:val="0"/>
              <w:autoSpaceDE/>
              <w:autoSpaceDN/>
              <w:bidi w:val="0"/>
              <w:adjustRightInd w:val="0"/>
              <w:snapToGrid w:val="0"/>
              <w:spacing w:after="0" w:line="560" w:lineRule="exact"/>
              <w:ind w:left="0" w:leftChars="0" w:right="0" w:rightChars="0"/>
              <w:jc w:val="center"/>
              <w:textAlignment w:val="auto"/>
              <w:rPr>
                <w:rFonts w:ascii="Times New Roman" w:hAnsi="Times New Roman" w:eastAsia="仿宋" w:cs="Times New Roman"/>
                <w:sz w:val="21"/>
                <w:szCs w:val="21"/>
              </w:rPr>
            </w:pPr>
            <w:r>
              <w:rPr>
                <w:rFonts w:ascii="Times New Roman" w:hAnsi="Times New Roman" w:eastAsia="仿宋" w:cs="Times New Roman"/>
                <w:sz w:val="21"/>
                <w:szCs w:val="21"/>
              </w:rPr>
              <w:t>TC2</w:t>
            </w:r>
          </w:p>
        </w:tc>
        <w:tc>
          <w:tcPr>
            <w:tcW w:w="1416" w:type="dxa"/>
            <w:vAlign w:val="center"/>
          </w:tcPr>
          <w:p>
            <w:pPr>
              <w:pStyle w:val="2"/>
              <w:keepNext w:val="0"/>
              <w:keepLines w:val="0"/>
              <w:pageBreakBefore w:val="0"/>
              <w:widowControl w:val="0"/>
              <w:kinsoku/>
              <w:wordWrap/>
              <w:overflowPunct/>
              <w:topLinePunct w:val="0"/>
              <w:autoSpaceDE/>
              <w:autoSpaceDN/>
              <w:bidi w:val="0"/>
              <w:adjustRightInd w:val="0"/>
              <w:snapToGrid w:val="0"/>
              <w:spacing w:after="0" w:line="560" w:lineRule="exact"/>
              <w:ind w:left="0" w:leftChars="0" w:right="0" w:rightChars="0"/>
              <w:jc w:val="center"/>
              <w:textAlignment w:val="auto"/>
              <w:rPr>
                <w:rFonts w:ascii="Times New Roman" w:hAnsi="Times New Roman" w:eastAsia="仿宋" w:cs="Times New Roman"/>
                <w:sz w:val="21"/>
                <w:szCs w:val="21"/>
              </w:rPr>
            </w:pPr>
            <w:r>
              <w:rPr>
                <w:rFonts w:ascii="Times New Roman" w:hAnsi="Times New Roman" w:eastAsia="仿宋" w:cs="Times New Roman"/>
                <w:sz w:val="21"/>
                <w:szCs w:val="21"/>
              </w:rPr>
              <w:t>685~880</w:t>
            </w:r>
          </w:p>
        </w:tc>
        <w:tc>
          <w:tcPr>
            <w:tcW w:w="1132" w:type="dxa"/>
            <w:vAlign w:val="center"/>
          </w:tcPr>
          <w:p>
            <w:pPr>
              <w:pStyle w:val="2"/>
              <w:keepNext w:val="0"/>
              <w:keepLines w:val="0"/>
              <w:pageBreakBefore w:val="0"/>
              <w:widowControl w:val="0"/>
              <w:kinsoku/>
              <w:wordWrap/>
              <w:overflowPunct/>
              <w:topLinePunct w:val="0"/>
              <w:autoSpaceDE/>
              <w:autoSpaceDN/>
              <w:bidi w:val="0"/>
              <w:adjustRightInd w:val="0"/>
              <w:snapToGrid w:val="0"/>
              <w:spacing w:after="0" w:line="560" w:lineRule="exact"/>
              <w:ind w:left="0" w:leftChars="0" w:right="0" w:rightChars="0"/>
              <w:jc w:val="center"/>
              <w:textAlignment w:val="auto"/>
              <w:rPr>
                <w:rFonts w:ascii="Times New Roman" w:hAnsi="Times New Roman" w:eastAsia="仿宋" w:cs="Times New Roman"/>
                <w:sz w:val="21"/>
                <w:szCs w:val="21"/>
              </w:rPr>
            </w:pPr>
            <m:oMathPara>
              <m:oMath>
                <m:r>
                  <m:rPr/>
                  <w:rPr>
                    <w:rFonts w:ascii="Cambria Math" w:hAnsi="Cambria Math" w:eastAsia="仿宋" w:cs="Times New Roman"/>
                    <w:sz w:val="21"/>
                    <w:szCs w:val="21"/>
                  </w:rPr>
                  <m:t>≥10</m:t>
                </m:r>
              </m:oMath>
            </m:oMathPara>
          </w:p>
        </w:tc>
        <w:tc>
          <w:tcPr>
            <w:tcW w:w="1273" w:type="dxa"/>
            <w:vAlign w:val="center"/>
          </w:tcPr>
          <w:p>
            <w:pPr>
              <w:pStyle w:val="2"/>
              <w:keepNext w:val="0"/>
              <w:keepLines w:val="0"/>
              <w:pageBreakBefore w:val="0"/>
              <w:widowControl w:val="0"/>
              <w:kinsoku/>
              <w:wordWrap/>
              <w:overflowPunct/>
              <w:topLinePunct w:val="0"/>
              <w:autoSpaceDE/>
              <w:autoSpaceDN/>
              <w:bidi w:val="0"/>
              <w:adjustRightInd w:val="0"/>
              <w:snapToGrid w:val="0"/>
              <w:spacing w:after="0" w:line="560" w:lineRule="exact"/>
              <w:ind w:left="0" w:leftChars="0" w:right="0" w:rightChars="0"/>
              <w:jc w:val="center"/>
              <w:textAlignment w:val="auto"/>
              <w:rPr>
                <w:rFonts w:ascii="Times New Roman" w:hAnsi="Times New Roman" w:eastAsia="仿宋" w:cs="Times New Roman"/>
                <w:sz w:val="21"/>
                <w:szCs w:val="21"/>
              </w:rPr>
            </w:pPr>
            <m:oMathPara>
              <m:oMath>
                <m:r>
                  <m:rPr/>
                  <w:rPr>
                    <w:rFonts w:ascii="Cambria Math" w:hAnsi="Cambria Math" w:eastAsia="仿宋" w:cs="Times New Roman"/>
                    <w:sz w:val="21"/>
                    <w:szCs w:val="21"/>
                  </w:rPr>
                  <m:t>≥30</m:t>
                </m:r>
              </m:oMath>
            </m:oMathPara>
          </w:p>
        </w:tc>
        <w:tc>
          <w:tcPr>
            <w:tcW w:w="1284" w:type="dxa"/>
            <w:vAlign w:val="center"/>
          </w:tcPr>
          <w:p>
            <w:pPr>
              <w:pStyle w:val="2"/>
              <w:keepNext w:val="0"/>
              <w:keepLines w:val="0"/>
              <w:pageBreakBefore w:val="0"/>
              <w:widowControl w:val="0"/>
              <w:kinsoku/>
              <w:wordWrap/>
              <w:overflowPunct/>
              <w:topLinePunct w:val="0"/>
              <w:autoSpaceDE/>
              <w:autoSpaceDN/>
              <w:bidi w:val="0"/>
              <w:adjustRightInd w:val="0"/>
              <w:snapToGrid w:val="0"/>
              <w:spacing w:after="0" w:line="560" w:lineRule="exact"/>
              <w:ind w:left="0" w:leftChars="0" w:right="0" w:rightChars="0"/>
              <w:jc w:val="center"/>
              <w:textAlignment w:val="auto"/>
              <w:rPr>
                <w:rFonts w:ascii="Times New Roman" w:hAnsi="Times New Roman" w:eastAsia="仿宋" w:cs="Times New Roman"/>
                <w:sz w:val="21"/>
                <w:szCs w:val="21"/>
              </w:rPr>
            </w:pPr>
            <m:oMathPara>
              <m:oMath>
                <m:r>
                  <m:rPr/>
                  <w:rPr>
                    <w:rFonts w:ascii="Cambria Math" w:hAnsi="Cambria Math" w:eastAsia="仿宋" w:cs="Times New Roman"/>
                    <w:sz w:val="21"/>
                    <w:szCs w:val="21"/>
                  </w:rPr>
                  <m:t>≥35</m:t>
                </m:r>
              </m:oMath>
            </m:oMathPara>
          </w:p>
        </w:tc>
        <w:tc>
          <w:tcPr>
            <w:tcW w:w="1985" w:type="dxa"/>
            <w:vAlign w:val="center"/>
          </w:tcPr>
          <w:p>
            <w:pPr>
              <w:pStyle w:val="2"/>
              <w:keepNext w:val="0"/>
              <w:keepLines w:val="0"/>
              <w:pageBreakBefore w:val="0"/>
              <w:widowControl w:val="0"/>
              <w:kinsoku/>
              <w:wordWrap/>
              <w:overflowPunct/>
              <w:topLinePunct w:val="0"/>
              <w:autoSpaceDE/>
              <w:autoSpaceDN/>
              <w:bidi w:val="0"/>
              <w:adjustRightInd w:val="0"/>
              <w:snapToGrid w:val="0"/>
              <w:spacing w:after="0" w:line="560" w:lineRule="exact"/>
              <w:ind w:left="0" w:leftChars="0" w:right="0" w:rightChars="0"/>
              <w:jc w:val="center"/>
              <w:textAlignment w:val="auto"/>
              <w:rPr>
                <w:rFonts w:ascii="Times New Roman" w:hAnsi="Times New Roman" w:eastAsia="仿宋" w:cs="Times New Roman"/>
                <w:sz w:val="21"/>
                <w:szCs w:val="21"/>
              </w:rPr>
            </w:pPr>
            <w:r>
              <w:rPr>
                <w:rFonts w:ascii="Times New Roman" w:hAnsi="Times New Roman" w:eastAsia="仿宋" w:cs="Times New Roman"/>
                <w:sz w:val="21"/>
                <w:szCs w:val="21"/>
              </w:rPr>
              <w:t>3.6~4.2</w:t>
            </w:r>
          </w:p>
        </w:tc>
      </w:tr>
    </w:tbl>
    <w:p>
      <w:pPr>
        <w:pStyle w:val="2"/>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jc w:val="center"/>
        <w:textAlignment w:val="auto"/>
        <w:rPr>
          <w:rFonts w:hint="eastAsia" w:ascii="Times New Roman" w:hAnsi="Times New Roman" w:eastAsia="仿宋" w:cs="Times New Roman"/>
          <w:color w:val="auto"/>
          <w:sz w:val="21"/>
          <w:szCs w:val="21"/>
          <w:shd w:val="clear" w:color="auto" w:fill="FFFFFF"/>
        </w:rPr>
      </w:pPr>
      <w:r>
        <w:rPr>
          <w:rFonts w:hint="eastAsia" w:ascii="Times New Roman" w:hAnsi="Times New Roman" w:eastAsia="仿宋" w:cs="Times New Roman"/>
          <w:color w:val="auto"/>
          <w:sz w:val="21"/>
          <w:szCs w:val="21"/>
          <w:shd w:val="clear" w:color="auto" w:fill="FFFFFF"/>
        </w:rPr>
        <w:t>表2 高温力学性能(纵向)</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0"/>
        <w:gridCol w:w="1113"/>
        <w:gridCol w:w="1081"/>
        <w:gridCol w:w="1055"/>
        <w:gridCol w:w="1055"/>
        <w:gridCol w:w="1055"/>
        <w:gridCol w:w="10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vMerge w:val="restart"/>
            <w:vAlign w:val="center"/>
          </w:tcPr>
          <w:p>
            <w:pPr>
              <w:pStyle w:val="2"/>
              <w:keepNext w:val="0"/>
              <w:keepLines w:val="0"/>
              <w:pageBreakBefore w:val="0"/>
              <w:widowControl w:val="0"/>
              <w:kinsoku/>
              <w:wordWrap/>
              <w:overflowPunct/>
              <w:topLinePunct w:val="0"/>
              <w:autoSpaceDE/>
              <w:autoSpaceDN/>
              <w:bidi w:val="0"/>
              <w:adjustRightInd w:val="0"/>
              <w:snapToGrid w:val="0"/>
              <w:spacing w:after="0" w:line="560" w:lineRule="exact"/>
              <w:ind w:left="0" w:leftChars="0" w:right="0" w:rightChars="0"/>
              <w:jc w:val="center"/>
              <w:textAlignment w:val="auto"/>
              <w:rPr>
                <w:rFonts w:ascii="Times New Roman" w:hAnsi="Times New Roman" w:eastAsia="仿宋" w:cs="Times New Roman"/>
                <w:sz w:val="21"/>
                <w:szCs w:val="21"/>
              </w:rPr>
            </w:pPr>
            <w:r>
              <w:rPr>
                <w:rFonts w:ascii="Times New Roman" w:hAnsi="Times New Roman" w:eastAsia="仿宋" w:cs="Times New Roman"/>
                <w:sz w:val="21"/>
                <w:szCs w:val="21"/>
              </w:rPr>
              <w:t>合金牌号</w:t>
            </w:r>
          </w:p>
        </w:tc>
        <w:tc>
          <w:tcPr>
            <w:tcW w:w="1113" w:type="dxa"/>
            <w:vMerge w:val="restart"/>
            <w:vAlign w:val="center"/>
          </w:tcPr>
          <w:p>
            <w:pPr>
              <w:pStyle w:val="2"/>
              <w:keepNext w:val="0"/>
              <w:keepLines w:val="0"/>
              <w:pageBreakBefore w:val="0"/>
              <w:widowControl w:val="0"/>
              <w:kinsoku/>
              <w:wordWrap/>
              <w:overflowPunct/>
              <w:topLinePunct w:val="0"/>
              <w:autoSpaceDE/>
              <w:autoSpaceDN/>
              <w:bidi w:val="0"/>
              <w:adjustRightInd w:val="0"/>
              <w:snapToGrid w:val="0"/>
              <w:spacing w:after="0" w:line="560" w:lineRule="exact"/>
              <w:ind w:left="0" w:leftChars="0" w:right="0" w:rightChars="0"/>
              <w:jc w:val="center"/>
              <w:textAlignment w:val="auto"/>
              <w:rPr>
                <w:rFonts w:ascii="Times New Roman" w:hAnsi="Times New Roman" w:eastAsia="仿宋" w:cs="Times New Roman"/>
                <w:sz w:val="21"/>
                <w:szCs w:val="21"/>
              </w:rPr>
            </w:pPr>
            <w:r>
              <w:rPr>
                <w:rFonts w:ascii="Times New Roman" w:hAnsi="Times New Roman" w:eastAsia="仿宋" w:cs="Times New Roman"/>
                <w:sz w:val="21"/>
                <w:szCs w:val="21"/>
              </w:rPr>
              <w:t>试验温度</w:t>
            </w:r>
          </w:p>
          <w:p>
            <w:pPr>
              <w:pStyle w:val="2"/>
              <w:keepNext w:val="0"/>
              <w:keepLines w:val="0"/>
              <w:pageBreakBefore w:val="0"/>
              <w:widowControl w:val="0"/>
              <w:kinsoku/>
              <w:wordWrap/>
              <w:overflowPunct/>
              <w:topLinePunct w:val="0"/>
              <w:autoSpaceDE/>
              <w:autoSpaceDN/>
              <w:bidi w:val="0"/>
              <w:adjustRightInd w:val="0"/>
              <w:snapToGrid w:val="0"/>
              <w:spacing w:after="0" w:line="560" w:lineRule="exact"/>
              <w:ind w:left="0" w:leftChars="0" w:right="0" w:rightChars="0"/>
              <w:jc w:val="center"/>
              <w:textAlignment w:val="auto"/>
              <w:rPr>
                <w:rFonts w:ascii="Times New Roman" w:hAnsi="Times New Roman" w:eastAsia="仿宋" w:cs="Times New Roman"/>
                <w:sz w:val="21"/>
                <w:szCs w:val="21"/>
              </w:rPr>
            </w:pPr>
            <w:r>
              <w:rPr>
                <w:rFonts w:ascii="Times New Roman" w:hAnsi="Times New Roman" w:eastAsia="仿宋" w:cs="Times New Roman"/>
                <w:sz w:val="21"/>
                <w:szCs w:val="21"/>
              </w:rPr>
              <w:t>/</w:t>
            </w:r>
            <m:oMath>
              <m:r>
                <m:rPr/>
                <w:rPr>
                  <w:rFonts w:ascii="Cambria Math" w:hAnsi="Cambria Math" w:eastAsia="仿宋" w:cs="Times New Roman"/>
                  <w:sz w:val="21"/>
                  <w:szCs w:val="21"/>
                </w:rPr>
                <m:t>℃</m:t>
              </m:r>
            </m:oMath>
          </w:p>
        </w:tc>
        <w:tc>
          <w:tcPr>
            <w:tcW w:w="3009" w:type="dxa"/>
            <w:gridSpan w:val="3"/>
            <w:vAlign w:val="center"/>
          </w:tcPr>
          <w:p>
            <w:pPr>
              <w:pStyle w:val="2"/>
              <w:keepNext w:val="0"/>
              <w:keepLines w:val="0"/>
              <w:pageBreakBefore w:val="0"/>
              <w:widowControl w:val="0"/>
              <w:kinsoku/>
              <w:wordWrap/>
              <w:overflowPunct/>
              <w:topLinePunct w:val="0"/>
              <w:autoSpaceDE/>
              <w:autoSpaceDN/>
              <w:bidi w:val="0"/>
              <w:adjustRightInd w:val="0"/>
              <w:snapToGrid w:val="0"/>
              <w:spacing w:after="0" w:line="560" w:lineRule="exact"/>
              <w:ind w:left="0" w:leftChars="0" w:right="0" w:rightChars="0"/>
              <w:jc w:val="center"/>
              <w:textAlignment w:val="auto"/>
              <w:rPr>
                <w:rFonts w:ascii="Times New Roman" w:hAnsi="Times New Roman" w:eastAsia="仿宋" w:cs="Times New Roman"/>
                <w:sz w:val="21"/>
                <w:szCs w:val="21"/>
              </w:rPr>
            </w:pPr>
            <w:r>
              <w:rPr>
                <w:rFonts w:ascii="Times New Roman" w:hAnsi="Times New Roman" w:eastAsia="仿宋" w:cs="Times New Roman"/>
                <w:sz w:val="21"/>
                <w:szCs w:val="21"/>
              </w:rPr>
              <w:t>高温拉伸性能</w:t>
            </w:r>
          </w:p>
        </w:tc>
        <w:tc>
          <w:tcPr>
            <w:tcW w:w="2110" w:type="dxa"/>
            <w:gridSpan w:val="2"/>
            <w:vAlign w:val="center"/>
          </w:tcPr>
          <w:p>
            <w:pPr>
              <w:pStyle w:val="2"/>
              <w:keepNext w:val="0"/>
              <w:keepLines w:val="0"/>
              <w:pageBreakBefore w:val="0"/>
              <w:widowControl w:val="0"/>
              <w:kinsoku/>
              <w:wordWrap/>
              <w:overflowPunct/>
              <w:topLinePunct w:val="0"/>
              <w:autoSpaceDE/>
              <w:autoSpaceDN/>
              <w:bidi w:val="0"/>
              <w:adjustRightInd w:val="0"/>
              <w:snapToGrid w:val="0"/>
              <w:spacing w:after="0" w:line="560" w:lineRule="exact"/>
              <w:ind w:left="0" w:leftChars="0" w:right="0" w:rightChars="0"/>
              <w:jc w:val="center"/>
              <w:textAlignment w:val="auto"/>
              <w:rPr>
                <w:rFonts w:ascii="Times New Roman" w:hAnsi="Times New Roman" w:eastAsia="仿宋" w:cs="Times New Roman"/>
                <w:sz w:val="21"/>
                <w:szCs w:val="21"/>
              </w:rPr>
            </w:pPr>
            <w:r>
              <w:rPr>
                <w:rFonts w:ascii="Times New Roman" w:hAnsi="Times New Roman" w:eastAsia="仿宋" w:cs="Times New Roman"/>
                <w:sz w:val="21"/>
                <w:szCs w:val="21"/>
              </w:rPr>
              <w:t>高温持久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vMerge w:val="continue"/>
            <w:vAlign w:val="center"/>
          </w:tcPr>
          <w:p>
            <w:pPr>
              <w:pStyle w:val="2"/>
              <w:keepNext w:val="0"/>
              <w:keepLines w:val="0"/>
              <w:pageBreakBefore w:val="0"/>
              <w:widowControl w:val="0"/>
              <w:kinsoku/>
              <w:wordWrap/>
              <w:overflowPunct/>
              <w:topLinePunct w:val="0"/>
              <w:autoSpaceDE/>
              <w:autoSpaceDN/>
              <w:bidi w:val="0"/>
              <w:adjustRightInd w:val="0"/>
              <w:snapToGrid w:val="0"/>
              <w:spacing w:after="0" w:line="560" w:lineRule="exact"/>
              <w:ind w:left="0" w:leftChars="0" w:right="0" w:rightChars="0"/>
              <w:jc w:val="center"/>
              <w:textAlignment w:val="auto"/>
              <w:rPr>
                <w:rFonts w:ascii="Times New Roman" w:hAnsi="Times New Roman" w:eastAsia="仿宋" w:cs="Times New Roman"/>
                <w:sz w:val="21"/>
                <w:szCs w:val="21"/>
              </w:rPr>
            </w:pPr>
          </w:p>
        </w:tc>
        <w:tc>
          <w:tcPr>
            <w:tcW w:w="1113" w:type="dxa"/>
            <w:vMerge w:val="continue"/>
            <w:vAlign w:val="center"/>
          </w:tcPr>
          <w:p>
            <w:pPr>
              <w:pStyle w:val="2"/>
              <w:keepNext w:val="0"/>
              <w:keepLines w:val="0"/>
              <w:pageBreakBefore w:val="0"/>
              <w:widowControl w:val="0"/>
              <w:kinsoku/>
              <w:wordWrap/>
              <w:overflowPunct/>
              <w:topLinePunct w:val="0"/>
              <w:autoSpaceDE/>
              <w:autoSpaceDN/>
              <w:bidi w:val="0"/>
              <w:adjustRightInd w:val="0"/>
              <w:snapToGrid w:val="0"/>
              <w:spacing w:after="0" w:line="560" w:lineRule="exact"/>
              <w:ind w:left="0" w:leftChars="0" w:right="0" w:rightChars="0"/>
              <w:jc w:val="center"/>
              <w:textAlignment w:val="auto"/>
              <w:rPr>
                <w:rFonts w:ascii="Times New Roman" w:hAnsi="Times New Roman" w:eastAsia="仿宋" w:cs="Times New Roman"/>
                <w:sz w:val="21"/>
                <w:szCs w:val="21"/>
              </w:rPr>
            </w:pPr>
          </w:p>
        </w:tc>
        <w:tc>
          <w:tcPr>
            <w:tcW w:w="899" w:type="dxa"/>
            <w:vAlign w:val="center"/>
          </w:tcPr>
          <w:p>
            <w:pPr>
              <w:pStyle w:val="2"/>
              <w:keepNext w:val="0"/>
              <w:keepLines w:val="0"/>
              <w:pageBreakBefore w:val="0"/>
              <w:widowControl w:val="0"/>
              <w:kinsoku/>
              <w:wordWrap/>
              <w:overflowPunct/>
              <w:topLinePunct w:val="0"/>
              <w:autoSpaceDE/>
              <w:autoSpaceDN/>
              <w:bidi w:val="0"/>
              <w:adjustRightInd w:val="0"/>
              <w:snapToGrid w:val="0"/>
              <w:spacing w:after="0" w:line="560" w:lineRule="exact"/>
              <w:ind w:left="0" w:leftChars="0" w:right="0" w:rightChars="0"/>
              <w:jc w:val="center"/>
              <w:textAlignment w:val="auto"/>
              <w:rPr>
                <w:rFonts w:ascii="Times New Roman" w:hAnsi="Times New Roman" w:eastAsia="仿宋" w:cs="Times New Roman"/>
                <w:sz w:val="21"/>
                <w:szCs w:val="21"/>
              </w:rPr>
            </w:pPr>
            <w:r>
              <w:rPr>
                <w:rFonts w:ascii="Times New Roman" w:hAnsi="Times New Roman" w:eastAsia="仿宋" w:cs="Times New Roman"/>
                <w:sz w:val="21"/>
                <w:szCs w:val="21"/>
              </w:rPr>
              <w:t>Rm/Mpa</w:t>
            </w:r>
          </w:p>
        </w:tc>
        <w:tc>
          <w:tcPr>
            <w:tcW w:w="1055" w:type="dxa"/>
            <w:vAlign w:val="center"/>
          </w:tcPr>
          <w:p>
            <w:pPr>
              <w:pStyle w:val="2"/>
              <w:keepNext w:val="0"/>
              <w:keepLines w:val="0"/>
              <w:pageBreakBefore w:val="0"/>
              <w:widowControl w:val="0"/>
              <w:kinsoku/>
              <w:wordWrap/>
              <w:overflowPunct/>
              <w:topLinePunct w:val="0"/>
              <w:autoSpaceDE/>
              <w:autoSpaceDN/>
              <w:bidi w:val="0"/>
              <w:adjustRightInd w:val="0"/>
              <w:snapToGrid w:val="0"/>
              <w:spacing w:after="0" w:line="560" w:lineRule="exact"/>
              <w:ind w:left="0" w:leftChars="0" w:right="0" w:rightChars="0"/>
              <w:jc w:val="center"/>
              <w:textAlignment w:val="auto"/>
              <w:rPr>
                <w:rFonts w:ascii="Times New Roman" w:hAnsi="Times New Roman" w:eastAsia="仿宋" w:cs="Times New Roman"/>
                <w:sz w:val="21"/>
                <w:szCs w:val="21"/>
              </w:rPr>
            </w:pPr>
            <w:r>
              <w:rPr>
                <w:rFonts w:ascii="Times New Roman" w:hAnsi="Times New Roman" w:eastAsia="仿宋" w:cs="Times New Roman"/>
                <w:sz w:val="21"/>
                <w:szCs w:val="21"/>
              </w:rPr>
              <w:t>A/%</w:t>
            </w:r>
          </w:p>
        </w:tc>
        <w:tc>
          <w:tcPr>
            <w:tcW w:w="1055" w:type="dxa"/>
            <w:vAlign w:val="center"/>
          </w:tcPr>
          <w:p>
            <w:pPr>
              <w:pStyle w:val="2"/>
              <w:keepNext w:val="0"/>
              <w:keepLines w:val="0"/>
              <w:pageBreakBefore w:val="0"/>
              <w:widowControl w:val="0"/>
              <w:kinsoku/>
              <w:wordWrap/>
              <w:overflowPunct/>
              <w:topLinePunct w:val="0"/>
              <w:autoSpaceDE/>
              <w:autoSpaceDN/>
              <w:bidi w:val="0"/>
              <w:adjustRightInd w:val="0"/>
              <w:snapToGrid w:val="0"/>
              <w:spacing w:after="0" w:line="560" w:lineRule="exact"/>
              <w:ind w:left="0" w:leftChars="0" w:right="0" w:rightChars="0"/>
              <w:jc w:val="center"/>
              <w:textAlignment w:val="auto"/>
              <w:rPr>
                <w:rFonts w:ascii="Times New Roman" w:hAnsi="Times New Roman" w:eastAsia="仿宋" w:cs="Times New Roman"/>
                <w:sz w:val="21"/>
                <w:szCs w:val="21"/>
              </w:rPr>
            </w:pPr>
            <w:r>
              <w:rPr>
                <w:rFonts w:ascii="Times New Roman" w:hAnsi="Times New Roman" w:eastAsia="仿宋" w:cs="Times New Roman"/>
                <w:sz w:val="21"/>
                <w:szCs w:val="21"/>
              </w:rPr>
              <w:t>Z/%</w:t>
            </w:r>
          </w:p>
        </w:tc>
        <w:tc>
          <w:tcPr>
            <w:tcW w:w="1055" w:type="dxa"/>
            <w:vAlign w:val="center"/>
          </w:tcPr>
          <w:p>
            <w:pPr>
              <w:pStyle w:val="2"/>
              <w:keepNext w:val="0"/>
              <w:keepLines w:val="0"/>
              <w:pageBreakBefore w:val="0"/>
              <w:widowControl w:val="0"/>
              <w:kinsoku/>
              <w:wordWrap/>
              <w:overflowPunct/>
              <w:topLinePunct w:val="0"/>
              <w:autoSpaceDE/>
              <w:autoSpaceDN/>
              <w:bidi w:val="0"/>
              <w:adjustRightInd w:val="0"/>
              <w:snapToGrid w:val="0"/>
              <w:spacing w:after="0" w:line="560" w:lineRule="exact"/>
              <w:ind w:left="0" w:leftChars="0" w:right="0" w:rightChars="0"/>
              <w:jc w:val="center"/>
              <w:textAlignment w:val="auto"/>
              <w:rPr>
                <w:rFonts w:ascii="Times New Roman" w:hAnsi="Times New Roman" w:eastAsia="仿宋" w:cs="Times New Roman"/>
                <w:sz w:val="21"/>
                <w:szCs w:val="21"/>
              </w:rPr>
            </w:pPr>
            <w:r>
              <w:rPr>
                <w:rFonts w:ascii="Times New Roman" w:hAnsi="Times New Roman" w:eastAsia="仿宋" w:cs="Times New Roman"/>
                <w:sz w:val="21"/>
                <w:szCs w:val="21"/>
              </w:rPr>
              <w:t>应力/Mpa</w:t>
            </w:r>
          </w:p>
        </w:tc>
        <w:tc>
          <w:tcPr>
            <w:tcW w:w="1055" w:type="dxa"/>
            <w:vAlign w:val="center"/>
          </w:tcPr>
          <w:p>
            <w:pPr>
              <w:pStyle w:val="2"/>
              <w:keepNext w:val="0"/>
              <w:keepLines w:val="0"/>
              <w:pageBreakBefore w:val="0"/>
              <w:widowControl w:val="0"/>
              <w:kinsoku/>
              <w:wordWrap/>
              <w:overflowPunct/>
              <w:topLinePunct w:val="0"/>
              <w:autoSpaceDE/>
              <w:autoSpaceDN/>
              <w:bidi w:val="0"/>
              <w:adjustRightInd w:val="0"/>
              <w:snapToGrid w:val="0"/>
              <w:spacing w:after="0" w:line="560" w:lineRule="exact"/>
              <w:ind w:left="0" w:leftChars="0" w:right="0" w:rightChars="0"/>
              <w:jc w:val="center"/>
              <w:textAlignment w:val="auto"/>
              <w:rPr>
                <w:rFonts w:ascii="Times New Roman" w:hAnsi="Times New Roman" w:eastAsia="仿宋" w:cs="Times New Roman"/>
                <w:sz w:val="21"/>
                <w:szCs w:val="21"/>
              </w:rPr>
            </w:pPr>
            <w:r>
              <w:rPr>
                <w:rFonts w:ascii="Times New Roman" w:hAnsi="Times New Roman" w:eastAsia="仿宋" w:cs="Times New Roman"/>
                <w:sz w:val="21"/>
                <w:szCs w:val="21"/>
              </w:rPr>
              <w:t>时间/h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vAlign w:val="center"/>
          </w:tcPr>
          <w:p>
            <w:pPr>
              <w:pStyle w:val="2"/>
              <w:keepNext w:val="0"/>
              <w:keepLines w:val="0"/>
              <w:pageBreakBefore w:val="0"/>
              <w:widowControl w:val="0"/>
              <w:kinsoku/>
              <w:wordWrap/>
              <w:overflowPunct/>
              <w:topLinePunct w:val="0"/>
              <w:autoSpaceDE/>
              <w:autoSpaceDN/>
              <w:bidi w:val="0"/>
              <w:adjustRightInd w:val="0"/>
              <w:snapToGrid w:val="0"/>
              <w:spacing w:after="0" w:line="560" w:lineRule="exact"/>
              <w:ind w:left="0" w:leftChars="0" w:right="0" w:rightChars="0"/>
              <w:jc w:val="center"/>
              <w:textAlignment w:val="auto"/>
              <w:rPr>
                <w:rFonts w:ascii="Times New Roman" w:hAnsi="Times New Roman" w:eastAsia="仿宋" w:cs="Times New Roman"/>
                <w:sz w:val="21"/>
                <w:szCs w:val="21"/>
              </w:rPr>
            </w:pPr>
            <w:r>
              <w:rPr>
                <w:rFonts w:ascii="Times New Roman" w:hAnsi="Times New Roman" w:eastAsia="仿宋" w:cs="Times New Roman"/>
                <w:sz w:val="21"/>
                <w:szCs w:val="21"/>
              </w:rPr>
              <w:t>TC2</w:t>
            </w:r>
          </w:p>
        </w:tc>
        <w:tc>
          <w:tcPr>
            <w:tcW w:w="1113" w:type="dxa"/>
            <w:vAlign w:val="center"/>
          </w:tcPr>
          <w:p>
            <w:pPr>
              <w:pStyle w:val="2"/>
              <w:keepNext w:val="0"/>
              <w:keepLines w:val="0"/>
              <w:pageBreakBefore w:val="0"/>
              <w:widowControl w:val="0"/>
              <w:kinsoku/>
              <w:wordWrap/>
              <w:overflowPunct/>
              <w:topLinePunct w:val="0"/>
              <w:autoSpaceDE/>
              <w:autoSpaceDN/>
              <w:bidi w:val="0"/>
              <w:adjustRightInd w:val="0"/>
              <w:snapToGrid w:val="0"/>
              <w:spacing w:after="0" w:line="560" w:lineRule="exact"/>
              <w:ind w:left="0" w:leftChars="0" w:right="0" w:rightChars="0"/>
              <w:jc w:val="center"/>
              <w:textAlignment w:val="auto"/>
              <w:rPr>
                <w:rFonts w:ascii="Times New Roman" w:hAnsi="Times New Roman" w:eastAsia="仿宋" w:cs="Times New Roman"/>
                <w:sz w:val="21"/>
                <w:szCs w:val="21"/>
              </w:rPr>
            </w:pPr>
            <w:r>
              <w:rPr>
                <w:rFonts w:ascii="Times New Roman" w:hAnsi="Times New Roman" w:eastAsia="仿宋" w:cs="Times New Roman"/>
                <w:sz w:val="21"/>
                <w:szCs w:val="21"/>
              </w:rPr>
              <w:t>350</w:t>
            </w:r>
          </w:p>
        </w:tc>
        <w:tc>
          <w:tcPr>
            <w:tcW w:w="899" w:type="dxa"/>
            <w:vAlign w:val="center"/>
          </w:tcPr>
          <w:p>
            <w:pPr>
              <w:pStyle w:val="2"/>
              <w:keepNext w:val="0"/>
              <w:keepLines w:val="0"/>
              <w:pageBreakBefore w:val="0"/>
              <w:widowControl w:val="0"/>
              <w:kinsoku/>
              <w:wordWrap/>
              <w:overflowPunct/>
              <w:topLinePunct w:val="0"/>
              <w:autoSpaceDE/>
              <w:autoSpaceDN/>
              <w:bidi w:val="0"/>
              <w:adjustRightInd w:val="0"/>
              <w:snapToGrid w:val="0"/>
              <w:spacing w:after="0" w:line="560" w:lineRule="exact"/>
              <w:ind w:left="0" w:leftChars="0" w:right="0" w:rightChars="0"/>
              <w:jc w:val="center"/>
              <w:textAlignment w:val="auto"/>
              <w:rPr>
                <w:rFonts w:ascii="Times New Roman" w:hAnsi="Times New Roman" w:eastAsia="仿宋" w:cs="Times New Roman"/>
                <w:sz w:val="21"/>
                <w:szCs w:val="21"/>
              </w:rPr>
            </w:pPr>
            <m:oMathPara>
              <m:oMathParaPr>
                <m:jc m:val="center"/>
              </m:oMathParaPr>
              <m:oMath>
                <m:r>
                  <m:rPr/>
                  <w:rPr>
                    <w:rFonts w:ascii="Cambria Math" w:hAnsi="Cambria Math" w:eastAsia="仿宋" w:cs="Times New Roman"/>
                    <w:sz w:val="21"/>
                    <w:szCs w:val="21"/>
                  </w:rPr>
                  <m:t>≥420</m:t>
                </m:r>
              </m:oMath>
            </m:oMathPara>
          </w:p>
        </w:tc>
        <w:tc>
          <w:tcPr>
            <w:tcW w:w="1055" w:type="dxa"/>
            <w:vAlign w:val="center"/>
          </w:tcPr>
          <w:p>
            <w:pPr>
              <w:pStyle w:val="2"/>
              <w:keepNext w:val="0"/>
              <w:keepLines w:val="0"/>
              <w:pageBreakBefore w:val="0"/>
              <w:widowControl w:val="0"/>
              <w:kinsoku/>
              <w:wordWrap/>
              <w:overflowPunct/>
              <w:topLinePunct w:val="0"/>
              <w:autoSpaceDE/>
              <w:autoSpaceDN/>
              <w:bidi w:val="0"/>
              <w:adjustRightInd w:val="0"/>
              <w:snapToGrid w:val="0"/>
              <w:spacing w:after="0" w:line="560" w:lineRule="exact"/>
              <w:ind w:left="0" w:leftChars="0" w:right="0" w:rightChars="0"/>
              <w:jc w:val="center"/>
              <w:textAlignment w:val="auto"/>
              <w:rPr>
                <w:rFonts w:ascii="Times New Roman" w:hAnsi="Times New Roman" w:eastAsia="仿宋" w:cs="Times New Roman"/>
                <w:sz w:val="21"/>
                <w:szCs w:val="21"/>
              </w:rPr>
            </w:pPr>
            <w:r>
              <w:rPr>
                <w:rFonts w:ascii="Times New Roman" w:hAnsi="Times New Roman" w:eastAsia="仿宋" w:cs="Times New Roman"/>
                <w:sz w:val="21"/>
                <w:szCs w:val="21"/>
              </w:rPr>
              <w:t>实测</w:t>
            </w:r>
          </w:p>
        </w:tc>
        <w:tc>
          <w:tcPr>
            <w:tcW w:w="1055" w:type="dxa"/>
            <w:vAlign w:val="center"/>
          </w:tcPr>
          <w:p>
            <w:pPr>
              <w:pStyle w:val="2"/>
              <w:keepNext w:val="0"/>
              <w:keepLines w:val="0"/>
              <w:pageBreakBefore w:val="0"/>
              <w:widowControl w:val="0"/>
              <w:kinsoku/>
              <w:wordWrap/>
              <w:overflowPunct/>
              <w:topLinePunct w:val="0"/>
              <w:autoSpaceDE/>
              <w:autoSpaceDN/>
              <w:bidi w:val="0"/>
              <w:adjustRightInd w:val="0"/>
              <w:snapToGrid w:val="0"/>
              <w:spacing w:after="0" w:line="560" w:lineRule="exact"/>
              <w:ind w:left="0" w:leftChars="0" w:right="0" w:rightChars="0"/>
              <w:jc w:val="center"/>
              <w:textAlignment w:val="auto"/>
              <w:rPr>
                <w:rFonts w:ascii="Times New Roman" w:hAnsi="Times New Roman" w:eastAsia="仿宋" w:cs="Times New Roman"/>
                <w:sz w:val="21"/>
                <w:szCs w:val="21"/>
              </w:rPr>
            </w:pPr>
            <w:r>
              <w:rPr>
                <w:rFonts w:ascii="Times New Roman" w:hAnsi="Times New Roman" w:eastAsia="仿宋" w:cs="Times New Roman"/>
                <w:sz w:val="21"/>
                <w:szCs w:val="21"/>
              </w:rPr>
              <w:t>实测</w:t>
            </w:r>
          </w:p>
        </w:tc>
        <w:tc>
          <w:tcPr>
            <w:tcW w:w="1055" w:type="dxa"/>
            <w:vAlign w:val="center"/>
          </w:tcPr>
          <w:p>
            <w:pPr>
              <w:pStyle w:val="2"/>
              <w:keepNext w:val="0"/>
              <w:keepLines w:val="0"/>
              <w:pageBreakBefore w:val="0"/>
              <w:widowControl w:val="0"/>
              <w:kinsoku/>
              <w:wordWrap/>
              <w:overflowPunct/>
              <w:topLinePunct w:val="0"/>
              <w:autoSpaceDE/>
              <w:autoSpaceDN/>
              <w:bidi w:val="0"/>
              <w:adjustRightInd w:val="0"/>
              <w:snapToGrid w:val="0"/>
              <w:spacing w:after="0" w:line="560" w:lineRule="exact"/>
              <w:ind w:left="0" w:leftChars="0" w:right="0" w:rightChars="0"/>
              <w:jc w:val="center"/>
              <w:textAlignment w:val="auto"/>
              <w:rPr>
                <w:rFonts w:ascii="Times New Roman" w:hAnsi="Times New Roman" w:eastAsia="仿宋" w:cs="Times New Roman"/>
                <w:sz w:val="21"/>
                <w:szCs w:val="21"/>
              </w:rPr>
            </w:pPr>
            <w:r>
              <w:rPr>
                <w:rFonts w:ascii="Times New Roman" w:hAnsi="Times New Roman" w:eastAsia="仿宋" w:cs="Times New Roman"/>
                <w:sz w:val="21"/>
                <w:szCs w:val="21"/>
              </w:rPr>
              <w:t>390</w:t>
            </w:r>
          </w:p>
        </w:tc>
        <w:tc>
          <w:tcPr>
            <w:tcW w:w="1055" w:type="dxa"/>
            <w:vAlign w:val="center"/>
          </w:tcPr>
          <w:p>
            <w:pPr>
              <w:pStyle w:val="2"/>
              <w:keepNext w:val="0"/>
              <w:keepLines w:val="0"/>
              <w:pageBreakBefore w:val="0"/>
              <w:widowControl w:val="0"/>
              <w:kinsoku/>
              <w:wordWrap/>
              <w:overflowPunct/>
              <w:topLinePunct w:val="0"/>
              <w:autoSpaceDE/>
              <w:autoSpaceDN/>
              <w:bidi w:val="0"/>
              <w:adjustRightInd w:val="0"/>
              <w:snapToGrid w:val="0"/>
              <w:spacing w:after="0" w:line="560" w:lineRule="exact"/>
              <w:ind w:left="0" w:leftChars="0" w:right="0" w:rightChars="0"/>
              <w:jc w:val="center"/>
              <w:textAlignment w:val="auto"/>
              <w:rPr>
                <w:rFonts w:ascii="Times New Roman" w:hAnsi="Times New Roman" w:eastAsia="仿宋" w:cs="Times New Roman"/>
                <w:sz w:val="21"/>
                <w:szCs w:val="21"/>
              </w:rPr>
            </w:pPr>
            <m:oMathPara>
              <m:oMath>
                <m:r>
                  <m:rPr/>
                  <w:rPr>
                    <w:rFonts w:ascii="Cambria Math" w:hAnsi="Cambria Math" w:eastAsia="仿宋" w:cs="Times New Roman"/>
                    <w:sz w:val="21"/>
                    <w:szCs w:val="21"/>
                  </w:rPr>
                  <m:t>≥100</m:t>
                </m:r>
              </m:oMath>
            </m:oMathPara>
          </w:p>
        </w:tc>
      </w:tr>
    </w:tbl>
    <w:p>
      <w:pPr>
        <w:keepNext w:val="0"/>
        <w:keepLines w:val="0"/>
        <w:pageBreakBefore w:val="0"/>
        <w:widowControl w:val="0"/>
        <w:kinsoku/>
        <w:wordWrap/>
        <w:overflowPunct/>
        <w:topLinePunct w:val="0"/>
        <w:autoSpaceDE/>
        <w:autoSpaceDN/>
        <w:bidi w:val="0"/>
        <w:adjustRightInd w:val="0"/>
        <w:snapToGrid w:val="0"/>
        <w:spacing w:line="560" w:lineRule="exact"/>
        <w:ind w:firstLine="642" w:firstLineChars="200"/>
        <w:textAlignment w:val="auto"/>
        <w:rPr>
          <w:rFonts w:ascii="Times New Roman" w:hAnsi="Times New Roman" w:eastAsia="楷体_GB2312" w:cs="Times New Roman"/>
          <w:b/>
          <w:bCs/>
          <w:kern w:val="2"/>
          <w:sz w:val="32"/>
          <w:szCs w:val="32"/>
        </w:rPr>
      </w:pPr>
      <w:r>
        <w:rPr>
          <w:rFonts w:ascii="Times New Roman" w:hAnsi="Times New Roman" w:eastAsia="楷体_GB2312" w:cs="Times New Roman"/>
          <w:b/>
          <w:bCs/>
          <w:kern w:val="2"/>
          <w:sz w:val="32"/>
          <w:szCs w:val="32"/>
        </w:rPr>
        <w:t>（三）技术攻关时限要求</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在揭榜协议及任务书签订后2年内完成。</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黑体" w:cs="Times New Roman"/>
          <w:kern w:val="2"/>
          <w:sz w:val="32"/>
          <w:szCs w:val="32"/>
        </w:rPr>
      </w:pPr>
      <w:r>
        <w:rPr>
          <w:rFonts w:ascii="Times New Roman" w:hAnsi="Times New Roman" w:eastAsia="黑体" w:cs="Times New Roman"/>
          <w:kern w:val="2"/>
          <w:sz w:val="32"/>
          <w:szCs w:val="32"/>
        </w:rPr>
        <w:t>六、对揭榜方要求</w:t>
      </w:r>
    </w:p>
    <w:p>
      <w:pPr>
        <w:keepNext w:val="0"/>
        <w:keepLines w:val="0"/>
        <w:pageBreakBefore w:val="0"/>
        <w:widowControl w:val="0"/>
        <w:kinsoku/>
        <w:wordWrap/>
        <w:overflowPunct/>
        <w:topLinePunct w:val="0"/>
        <w:autoSpaceDE/>
        <w:autoSpaceDN/>
        <w:bidi w:val="0"/>
        <w:adjustRightInd w:val="0"/>
        <w:snapToGrid w:val="0"/>
        <w:spacing w:line="560" w:lineRule="exact"/>
        <w:ind w:firstLine="642" w:firstLineChars="200"/>
        <w:textAlignment w:val="auto"/>
        <w:rPr>
          <w:rFonts w:ascii="Times New Roman" w:hAnsi="Times New Roman" w:eastAsia="楷体_GB2312" w:cs="Times New Roman"/>
          <w:b/>
          <w:bCs/>
          <w:kern w:val="2"/>
          <w:sz w:val="32"/>
          <w:szCs w:val="32"/>
        </w:rPr>
      </w:pPr>
      <w:r>
        <w:rPr>
          <w:rFonts w:ascii="Times New Roman" w:hAnsi="Times New Roman" w:eastAsia="楷体_GB2312" w:cs="Times New Roman"/>
          <w:b/>
          <w:bCs/>
          <w:kern w:val="2"/>
          <w:sz w:val="32"/>
          <w:szCs w:val="32"/>
        </w:rPr>
        <w:t>（一）揭榜方应具有以下资质和能力</w:t>
      </w:r>
    </w:p>
    <w:p>
      <w:pPr>
        <w:pStyle w:val="10"/>
        <w:keepNext w:val="0"/>
        <w:keepLines w:val="0"/>
        <w:pageBreakBefore w:val="0"/>
        <w:widowControl w:val="0"/>
        <w:kinsoku/>
        <w:wordWrap/>
        <w:overflowPunct/>
        <w:topLinePunct w:val="0"/>
        <w:autoSpaceDE/>
        <w:autoSpaceDN/>
        <w:bidi w:val="0"/>
        <w:adjustRightInd w:val="0"/>
        <w:snapToGrid w:val="0"/>
        <w:spacing w:line="560" w:lineRule="exact"/>
        <w:ind w:right="218" w:rightChars="91" w:firstLine="640" w:firstLineChars="200"/>
        <w:textAlignment w:val="auto"/>
        <w:rPr>
          <w:rFonts w:hint="eastAsia" w:eastAsia="仿宋"/>
          <w:lang w:val="en-US" w:eastAsia="zh-CN"/>
        </w:rPr>
      </w:pPr>
      <w:r>
        <w:rPr>
          <w:rFonts w:hint="eastAsia" w:ascii="仿宋" w:hAnsi="仿宋" w:eastAsia="仿宋" w:cs="仿宋"/>
          <w:color w:val="000000" w:themeColor="text1"/>
          <w:sz w:val="32"/>
          <w:szCs w:val="32"/>
          <w:lang w:val="en-US" w:eastAsia="zh-CN"/>
          <w14:textFill>
            <w14:solidFill>
              <w14:schemeClr w14:val="tx1"/>
            </w14:solidFill>
          </w14:textFill>
        </w:rPr>
        <w:t>揭榜方在</w:t>
      </w:r>
      <w:r>
        <w:rPr>
          <w:rFonts w:hint="eastAsia" w:ascii="仿宋" w:hAnsi="仿宋" w:eastAsia="仿宋" w:cs="仿宋"/>
          <w:color w:val="000000" w:themeColor="text1"/>
          <w:sz w:val="32"/>
          <w:szCs w:val="32"/>
          <w14:textFill>
            <w14:solidFill>
              <w14:schemeClr w14:val="tx1"/>
            </w14:solidFill>
          </w14:textFill>
        </w:rPr>
        <w:t>航空产业、航空工程材料锻造</w:t>
      </w:r>
      <w:r>
        <w:rPr>
          <w:rFonts w:hint="eastAsia" w:ascii="仿宋" w:hAnsi="仿宋" w:eastAsia="仿宋" w:cs="仿宋"/>
          <w:color w:val="000000" w:themeColor="text1"/>
          <w:sz w:val="32"/>
          <w:szCs w:val="32"/>
          <w:lang w:val="en-US" w:eastAsia="zh-CN"/>
          <w14:textFill>
            <w14:solidFill>
              <w14:schemeClr w14:val="tx1"/>
            </w14:solidFill>
          </w14:textFill>
        </w:rPr>
        <w:t>方面具备</w:t>
      </w:r>
      <w:r>
        <w:rPr>
          <w:rFonts w:ascii="仿宋" w:hAnsi="仿宋" w:eastAsia="仿宋" w:cs="仿宋"/>
          <w:color w:val="000000" w:themeColor="text1"/>
          <w:sz w:val="32"/>
          <w:szCs w:val="32"/>
          <w14:textFill>
            <w14:solidFill>
              <w14:schemeClr w14:val="tx1"/>
            </w14:solidFill>
          </w14:textFill>
        </w:rPr>
        <w:t>相关研究</w:t>
      </w:r>
      <w:r>
        <w:rPr>
          <w:rFonts w:hint="eastAsia" w:ascii="仿宋" w:hAnsi="仿宋" w:eastAsia="仿宋" w:cs="仿宋"/>
          <w:color w:val="000000" w:themeColor="text1"/>
          <w:sz w:val="32"/>
          <w:szCs w:val="32"/>
          <w:lang w:val="en-US" w:eastAsia="zh-CN"/>
          <w14:textFill>
            <w14:solidFill>
              <w14:schemeClr w14:val="tx1"/>
            </w14:solidFill>
          </w14:textFill>
        </w:rPr>
        <w:t>基础。</w:t>
      </w:r>
    </w:p>
    <w:p>
      <w:pPr>
        <w:keepNext w:val="0"/>
        <w:keepLines w:val="0"/>
        <w:pageBreakBefore w:val="0"/>
        <w:widowControl w:val="0"/>
        <w:kinsoku/>
        <w:wordWrap/>
        <w:overflowPunct/>
        <w:topLinePunct w:val="0"/>
        <w:autoSpaceDE/>
        <w:autoSpaceDN/>
        <w:bidi w:val="0"/>
        <w:adjustRightInd w:val="0"/>
        <w:snapToGrid w:val="0"/>
        <w:spacing w:line="560" w:lineRule="exact"/>
        <w:ind w:firstLine="642" w:firstLineChars="200"/>
        <w:textAlignment w:val="auto"/>
        <w:rPr>
          <w:rFonts w:ascii="Times New Roman" w:hAnsi="Times New Roman" w:eastAsia="楷体_GB2312" w:cs="Times New Roman"/>
          <w:b/>
          <w:bCs/>
          <w:kern w:val="2"/>
          <w:sz w:val="32"/>
          <w:szCs w:val="32"/>
        </w:rPr>
      </w:pPr>
      <w:r>
        <w:rPr>
          <w:rFonts w:ascii="Times New Roman" w:hAnsi="Times New Roman" w:eastAsia="楷体_GB2312" w:cs="Times New Roman"/>
          <w:b/>
          <w:bCs/>
          <w:kern w:val="2"/>
          <w:sz w:val="32"/>
          <w:szCs w:val="32"/>
        </w:rPr>
        <w:t>（二）产权归属</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pPr>
      <w:r>
        <w:rPr>
          <w:rFonts w:hint="eastAsia" w:ascii="仿宋" w:hAnsi="仿宋" w:eastAsia="仿宋" w:cs="仿宋"/>
          <w:color w:val="000000" w:themeColor="text1"/>
          <w:sz w:val="32"/>
          <w:szCs w:val="32"/>
          <w14:textFill>
            <w14:solidFill>
              <w14:schemeClr w14:val="tx1"/>
            </w14:solidFill>
          </w14:textFill>
        </w:rPr>
        <w:t>项目实施过程中知识产权归双方共同拥有。</w:t>
      </w:r>
    </w:p>
    <w:bookmarkEnd w:id="0"/>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Verdana">
    <w:altName w:val="DejaVu Sans"/>
    <w:panose1 w:val="020B0604030504040204"/>
    <w:charset w:val="00"/>
    <w:family w:val="swiss"/>
    <w:pitch w:val="default"/>
    <w:sig w:usb0="00000000" w:usb1="00000000" w:usb2="00000010" w:usb3="00000000" w:csb0="2000019F" w:csb1="00000000"/>
  </w:font>
  <w:font w:name="方正小标宋简体">
    <w:panose1 w:val="02000000000000000000"/>
    <w:charset w:val="86"/>
    <w:family w:val="script"/>
    <w:pitch w:val="default"/>
    <w:sig w:usb0="A00002BF" w:usb1="184F6CFA" w:usb2="00000012" w:usb3="00000000" w:csb0="00040001" w:csb1="00000000"/>
  </w:font>
  <w:font w:name="仿宋">
    <w:altName w:val="方正仿宋_GBK"/>
    <w:panose1 w:val="02010609060101010101"/>
    <w:charset w:val="86"/>
    <w:family w:val="modern"/>
    <w:pitch w:val="default"/>
    <w:sig w:usb0="00000000" w:usb1="00000000" w:usb2="00000016" w:usb3="00000000" w:csb0="00040001" w:csb1="00000000"/>
  </w:font>
  <w:font w:name="楷体_GB2312">
    <w:altName w:val="方正楷体_GBK"/>
    <w:panose1 w:val="00000000000000000000"/>
    <w:charset w:val="86"/>
    <w:family w:val="auto"/>
    <w:pitch w:val="default"/>
    <w:sig w:usb0="00000000" w:usb1="00000000" w:usb2="00000000" w:usb3="00000000" w:csb0="00040000" w:csb1="00000000"/>
  </w:font>
  <w:font w:name="汉仪书宋二S">
    <w:altName w:val="方正书宋_GBK"/>
    <w:panose1 w:val="00000000000000000000"/>
    <w:charset w:val="00"/>
    <w:family w:val="auto"/>
    <w:pitch w:val="default"/>
    <w:sig w:usb0="00000000" w:usb1="00000000" w:usb2="00000000" w:usb3="00000000" w:csb0="00000000" w:csb1="00000000"/>
  </w:font>
  <w:font w:name="Cambria Math">
    <w:altName w:val="DejaVu Math TeX Gyre"/>
    <w:panose1 w:val="02040503050406030204"/>
    <w:charset w:val="00"/>
    <w:family w:val="roman"/>
    <w:pitch w:val="default"/>
    <w:sig w:usb0="00000000" w:usb1="00000000" w:usb2="02000000" w:usb3="00000000" w:csb0="2000019F" w:csb1="00000000"/>
  </w:font>
  <w:font w:name="仿宋_GB2312">
    <w:altName w:val="方正仿宋_GBK"/>
    <w:panose1 w:val="02010609030101010101"/>
    <w:charset w:val="86"/>
    <w:family w:val="auto"/>
    <w:pitch w:val="default"/>
    <w:sig w:usb0="00000000" w:usb1="00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DejaVu Math TeX Gyre">
    <w:panose1 w:val="02000503000000000000"/>
    <w:charset w:val="00"/>
    <w:family w:val="auto"/>
    <w:pitch w:val="default"/>
    <w:sig w:usb0="A10000EF" w:usb1="4201F9EE" w:usb2="02000000" w:usb3="00000000" w:csb0="60000193" w:csb1="0DD4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jc w:val="left"/>
      <w:rPr>
        <w:rFonts w:ascii="Times New Roman" w:hAnsi="Times New Roman" w:cs="Times New Roman"/>
        <w:kern w:val="2"/>
        <w:sz w:val="18"/>
      </w:rPr>
    </w:pPr>
    <w:r>
      <w:rPr>
        <w:rFonts w:ascii="Times New Roman" w:hAnsi="Times New Roman" w:cs="Times New Roman"/>
        <w:kern w:val="2"/>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534035" cy="230505"/>
              <wp:effectExtent l="0" t="0" r="0" b="1905"/>
              <wp:wrapNone/>
              <wp:docPr id="1" name="文本框 1"/>
              <wp:cNvGraphicFramePr/>
              <a:graphic xmlns:a="http://schemas.openxmlformats.org/drawingml/2006/main">
                <a:graphicData uri="http://schemas.microsoft.com/office/word/2010/wordprocessingShape">
                  <wps:wsp>
                    <wps:cNvSpPr txBox="true">
                      <a:spLocks noChangeArrowheads="true"/>
                    </wps:cNvSpPr>
                    <wps:spPr bwMode="auto">
                      <a:xfrm>
                        <a:off x="0" y="0"/>
                        <a:ext cx="534035" cy="230505"/>
                      </a:xfrm>
                      <a:prstGeom prst="rect">
                        <a:avLst/>
                      </a:prstGeom>
                      <a:noFill/>
                      <a:ln>
                        <a:noFill/>
                      </a:ln>
                      <a:effectLst/>
                    </wps:spPr>
                    <wps:txbx>
                      <w:txbxContent>
                        <w:p>
                          <w:pPr>
                            <w:snapToGrid w:val="0"/>
                            <w:rPr>
                              <w:rFonts w:hint="eastAsia" w:ascii="仿宋" w:hAnsi="仿宋" w:eastAsia="仿宋" w:cs="仿宋"/>
                              <w:kern w:val="2"/>
                              <w:sz w:val="24"/>
                              <w:szCs w:val="24"/>
                            </w:rPr>
                          </w:pPr>
                          <w:r>
                            <w:rPr>
                              <w:rFonts w:hint="eastAsia" w:ascii="仿宋" w:hAnsi="仿宋" w:eastAsia="仿宋" w:cs="仿宋"/>
                              <w:kern w:val="2"/>
                              <w:sz w:val="24"/>
                              <w:szCs w:val="24"/>
                            </w:rPr>
                            <w:t xml:space="preserve">— </w:t>
                          </w:r>
                          <w:r>
                            <w:rPr>
                              <w:rFonts w:hint="eastAsia" w:ascii="仿宋" w:hAnsi="仿宋" w:eastAsia="仿宋" w:cs="仿宋"/>
                              <w:kern w:val="2"/>
                              <w:sz w:val="24"/>
                              <w:szCs w:val="24"/>
                            </w:rPr>
                            <w:fldChar w:fldCharType="begin"/>
                          </w:r>
                          <w:r>
                            <w:rPr>
                              <w:rFonts w:hint="eastAsia" w:ascii="仿宋" w:hAnsi="仿宋" w:eastAsia="仿宋" w:cs="仿宋"/>
                              <w:kern w:val="2"/>
                              <w:sz w:val="24"/>
                              <w:szCs w:val="24"/>
                            </w:rPr>
                            <w:instrText xml:space="preserve"> PAGE  \* MERGEFORMAT </w:instrText>
                          </w:r>
                          <w:r>
                            <w:rPr>
                              <w:rFonts w:hint="eastAsia" w:ascii="仿宋" w:hAnsi="仿宋" w:eastAsia="仿宋" w:cs="仿宋"/>
                              <w:kern w:val="2"/>
                              <w:sz w:val="24"/>
                              <w:szCs w:val="24"/>
                            </w:rPr>
                            <w:fldChar w:fldCharType="separate"/>
                          </w:r>
                          <w:r>
                            <w:rPr>
                              <w:rFonts w:hint="eastAsia" w:ascii="仿宋" w:hAnsi="仿宋" w:eastAsia="仿宋" w:cs="仿宋"/>
                              <w:kern w:val="2"/>
                              <w:sz w:val="24"/>
                              <w:szCs w:val="24"/>
                            </w:rPr>
                            <w:t>1</w:t>
                          </w:r>
                          <w:r>
                            <w:rPr>
                              <w:rFonts w:hint="eastAsia" w:ascii="仿宋" w:hAnsi="仿宋" w:eastAsia="仿宋" w:cs="仿宋"/>
                              <w:kern w:val="2"/>
                              <w:sz w:val="24"/>
                              <w:szCs w:val="24"/>
                            </w:rPr>
                            <w:fldChar w:fldCharType="end"/>
                          </w:r>
                          <w:r>
                            <w:rPr>
                              <w:rFonts w:hint="eastAsia" w:ascii="仿宋" w:hAnsi="仿宋" w:eastAsia="仿宋" w:cs="仿宋"/>
                              <w:kern w:val="2"/>
                              <w:sz w:val="24"/>
                              <w:szCs w:val="24"/>
                            </w:rPr>
                            <w:t xml:space="preserve"> —</w:t>
                          </w:r>
                        </w:p>
                      </w:txbxContent>
                    </wps:txbx>
                    <wps:bodyPr rot="0" vert="horz" wrap="none" lIns="0" tIns="0" rIns="0" bIns="0" anchor="t" anchorCtr="false" upright="true">
                      <a:spAutoFit/>
                    </wps:bodyPr>
                  </wps:wsp>
                </a:graphicData>
              </a:graphic>
            </wp:anchor>
          </w:drawing>
        </mc:Choice>
        <mc:Fallback>
          <w:pict>
            <v:shape id="_x0000_s1026" o:spid="_x0000_s1026" o:spt="202" type="#_x0000_t202" style="position:absolute;left:0pt;margin-top:0pt;height:18.15pt;width:42.05pt;mso-position-horizontal:outside;mso-position-horizontal-relative:margin;mso-wrap-style:none;z-index:251659264;mso-width-relative:page;mso-height-relative:page;" filled="f" stroked="f" coordsize="21600,21600" o:gfxdata="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WAAAAZHJzL1BLAQIUABQAAAAIAIdO4kDw9kx90QAAAAMBAAAPAAAAAAAAAAEAIAAAADgA&#10;AABkcnMvZG93bnJldi54bWxQSwECFAAUAAAACACHTuJAoCT6G/oBAADPAwAADgAAAAAAAAABACAA&#10;AAA2AQAAZHJzL2Uyb0RvYy54bWxQSwUGAAAAAAYABgBZAQAAogUAAAAA&#10;">
              <v:fill on="f" focussize="0,0"/>
              <v:stroke on="f"/>
              <v:imagedata o:title=""/>
              <o:lock v:ext="edit" aspectratio="f"/>
              <v:textbox inset="0mm,0mm,0mm,0mm" style="mso-fit-shape-to-text:t;">
                <w:txbxContent>
                  <w:p>
                    <w:pPr>
                      <w:snapToGrid w:val="0"/>
                      <w:rPr>
                        <w:rFonts w:hint="eastAsia" w:ascii="仿宋" w:hAnsi="仿宋" w:eastAsia="仿宋" w:cs="仿宋"/>
                        <w:kern w:val="2"/>
                        <w:sz w:val="24"/>
                        <w:szCs w:val="24"/>
                      </w:rPr>
                    </w:pPr>
                    <w:r>
                      <w:rPr>
                        <w:rFonts w:hint="eastAsia" w:ascii="仿宋" w:hAnsi="仿宋" w:eastAsia="仿宋" w:cs="仿宋"/>
                        <w:kern w:val="2"/>
                        <w:sz w:val="24"/>
                        <w:szCs w:val="24"/>
                      </w:rPr>
                      <w:t xml:space="preserve">— </w:t>
                    </w:r>
                    <w:r>
                      <w:rPr>
                        <w:rFonts w:hint="eastAsia" w:ascii="仿宋" w:hAnsi="仿宋" w:eastAsia="仿宋" w:cs="仿宋"/>
                        <w:kern w:val="2"/>
                        <w:sz w:val="24"/>
                        <w:szCs w:val="24"/>
                      </w:rPr>
                      <w:fldChar w:fldCharType="begin"/>
                    </w:r>
                    <w:r>
                      <w:rPr>
                        <w:rFonts w:hint="eastAsia" w:ascii="仿宋" w:hAnsi="仿宋" w:eastAsia="仿宋" w:cs="仿宋"/>
                        <w:kern w:val="2"/>
                        <w:sz w:val="24"/>
                        <w:szCs w:val="24"/>
                      </w:rPr>
                      <w:instrText xml:space="preserve"> PAGE  \* MERGEFORMAT </w:instrText>
                    </w:r>
                    <w:r>
                      <w:rPr>
                        <w:rFonts w:hint="eastAsia" w:ascii="仿宋" w:hAnsi="仿宋" w:eastAsia="仿宋" w:cs="仿宋"/>
                        <w:kern w:val="2"/>
                        <w:sz w:val="24"/>
                        <w:szCs w:val="24"/>
                      </w:rPr>
                      <w:fldChar w:fldCharType="separate"/>
                    </w:r>
                    <w:r>
                      <w:rPr>
                        <w:rFonts w:hint="eastAsia" w:ascii="仿宋" w:hAnsi="仿宋" w:eastAsia="仿宋" w:cs="仿宋"/>
                        <w:kern w:val="2"/>
                        <w:sz w:val="24"/>
                        <w:szCs w:val="24"/>
                      </w:rPr>
                      <w:t>1</w:t>
                    </w:r>
                    <w:r>
                      <w:rPr>
                        <w:rFonts w:hint="eastAsia" w:ascii="仿宋" w:hAnsi="仿宋" w:eastAsia="仿宋" w:cs="仿宋"/>
                        <w:kern w:val="2"/>
                        <w:sz w:val="24"/>
                        <w:szCs w:val="24"/>
                      </w:rPr>
                      <w:fldChar w:fldCharType="end"/>
                    </w:r>
                    <w:r>
                      <w:rPr>
                        <w:rFonts w:hint="eastAsia" w:ascii="仿宋" w:hAnsi="仿宋" w:eastAsia="仿宋" w:cs="仿宋"/>
                        <w:kern w:val="2"/>
                        <w:sz w:val="24"/>
                        <w:szCs w:val="24"/>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drawingGridVerticalSpacing w:val="156"/>
  <w:noPunctuationKerning w:val="true"/>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VhMGEwYTJhYjYxMzJiZTQ0ZTVmOGQyOWQ3Yzc4NWEifQ=="/>
  </w:docVars>
  <w:rsids>
    <w:rsidRoot w:val="009C75EC"/>
    <w:rsid w:val="00035508"/>
    <w:rsid w:val="000C1275"/>
    <w:rsid w:val="001129C8"/>
    <w:rsid w:val="001D7793"/>
    <w:rsid w:val="00213303"/>
    <w:rsid w:val="003651FD"/>
    <w:rsid w:val="0041770D"/>
    <w:rsid w:val="00501A1C"/>
    <w:rsid w:val="005651DE"/>
    <w:rsid w:val="005E0195"/>
    <w:rsid w:val="005E721F"/>
    <w:rsid w:val="00600A5A"/>
    <w:rsid w:val="006E3741"/>
    <w:rsid w:val="0071075C"/>
    <w:rsid w:val="00741F01"/>
    <w:rsid w:val="007B4492"/>
    <w:rsid w:val="008B7583"/>
    <w:rsid w:val="009C75EC"/>
    <w:rsid w:val="00A20EE1"/>
    <w:rsid w:val="00AD12CC"/>
    <w:rsid w:val="00B14BC8"/>
    <w:rsid w:val="00C02D7D"/>
    <w:rsid w:val="00C26475"/>
    <w:rsid w:val="00C6282C"/>
    <w:rsid w:val="00D6277D"/>
    <w:rsid w:val="00E100F5"/>
    <w:rsid w:val="00E21AB4"/>
    <w:rsid w:val="00EE65BB"/>
    <w:rsid w:val="085B5D4F"/>
    <w:rsid w:val="0CB930F3"/>
    <w:rsid w:val="13146F8B"/>
    <w:rsid w:val="15DB35DD"/>
    <w:rsid w:val="175E0D26"/>
    <w:rsid w:val="1790019C"/>
    <w:rsid w:val="1C231A28"/>
    <w:rsid w:val="1EF9AA56"/>
    <w:rsid w:val="21E01499"/>
    <w:rsid w:val="230E75B5"/>
    <w:rsid w:val="25D945D5"/>
    <w:rsid w:val="276E51C4"/>
    <w:rsid w:val="29F60A01"/>
    <w:rsid w:val="2DC046A1"/>
    <w:rsid w:val="2E4D2E00"/>
    <w:rsid w:val="30DA5678"/>
    <w:rsid w:val="33044C2E"/>
    <w:rsid w:val="35EC5749"/>
    <w:rsid w:val="3ADF4CF6"/>
    <w:rsid w:val="3C11070A"/>
    <w:rsid w:val="3F4343E8"/>
    <w:rsid w:val="3FBD7826"/>
    <w:rsid w:val="407E7B8C"/>
    <w:rsid w:val="479E3B1A"/>
    <w:rsid w:val="4DB9F19A"/>
    <w:rsid w:val="4EE74FB0"/>
    <w:rsid w:val="53605111"/>
    <w:rsid w:val="55AC37E9"/>
    <w:rsid w:val="590C4A99"/>
    <w:rsid w:val="5FDDBE17"/>
    <w:rsid w:val="69BD7C99"/>
    <w:rsid w:val="718A79D3"/>
    <w:rsid w:val="75ABA006"/>
    <w:rsid w:val="7A8A33F7"/>
    <w:rsid w:val="7AFF67A9"/>
    <w:rsid w:val="7DFB44FC"/>
    <w:rsid w:val="7FFCFC76"/>
    <w:rsid w:val="8FFE4A88"/>
    <w:rsid w:val="B6AF827C"/>
    <w:rsid w:val="D9F73D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宋体" w:eastAsia="宋体" w:cs="宋体"/>
      <w:color w:val="000000"/>
      <w:sz w:val="24"/>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lock Text"/>
    <w:basedOn w:val="1"/>
    <w:semiHidden/>
    <w:unhideWhenUsed/>
    <w:qFormat/>
    <w:uiPriority w:val="99"/>
    <w:pPr>
      <w:spacing w:after="120"/>
      <w:ind w:left="1440" w:leftChars="700" w:right="1440" w:rightChars="700"/>
    </w:pPr>
  </w:style>
  <w:style w:type="paragraph" w:styleId="3">
    <w:name w:val="footer"/>
    <w:basedOn w:val="1"/>
    <w:link w:val="13"/>
    <w:unhideWhenUsed/>
    <w:qFormat/>
    <w:uiPriority w:val="99"/>
    <w:pPr>
      <w:tabs>
        <w:tab w:val="center" w:pos="4153"/>
        <w:tab w:val="right" w:pos="8306"/>
      </w:tabs>
      <w:snapToGrid w:val="0"/>
      <w:jc w:val="left"/>
    </w:pPr>
    <w:rPr>
      <w:sz w:val="18"/>
      <w:szCs w:val="18"/>
    </w:rPr>
  </w:style>
  <w:style w:type="paragraph" w:styleId="4">
    <w:name w:val="header"/>
    <w:basedOn w:val="1"/>
    <w:link w:val="12"/>
    <w:unhideWhenUsed/>
    <w:qFormat/>
    <w:uiPriority w:val="99"/>
    <w:pPr>
      <w:tabs>
        <w:tab w:val="center" w:pos="4153"/>
        <w:tab w:val="right" w:pos="8306"/>
      </w:tabs>
      <w:snapToGrid w:val="0"/>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Char Char Char Char Char Char Char"/>
    <w:basedOn w:val="1"/>
    <w:qFormat/>
    <w:uiPriority w:val="0"/>
    <w:pPr>
      <w:widowControl/>
      <w:spacing w:after="160" w:line="240" w:lineRule="exact"/>
      <w:jc w:val="left"/>
    </w:pPr>
    <w:rPr>
      <w:rFonts w:ascii="Arial" w:hAnsi="Arial" w:eastAsia="Times New Roman" w:cs="Verdana"/>
      <w:b/>
      <w:color w:val="auto"/>
      <w:lang w:eastAsia="en-US"/>
    </w:rPr>
  </w:style>
  <w:style w:type="character" w:customStyle="1" w:styleId="9">
    <w:name w:val="NormalCharacter"/>
    <w:semiHidden/>
    <w:qFormat/>
    <w:uiPriority w:val="0"/>
    <w:rPr>
      <w:rFonts w:ascii="Calibri" w:hAnsi="Calibri"/>
      <w:kern w:val="2"/>
      <w:sz w:val="21"/>
      <w:szCs w:val="24"/>
      <w:lang w:val="en-US" w:eastAsia="zh-CN" w:bidi="ar-SA"/>
    </w:rPr>
  </w:style>
  <w:style w:type="paragraph" w:styleId="10">
    <w:name w:val="List Paragraph"/>
    <w:basedOn w:val="1"/>
    <w:unhideWhenUsed/>
    <w:qFormat/>
    <w:uiPriority w:val="99"/>
    <w:pPr>
      <w:ind w:firstLine="420" w:firstLineChars="200"/>
    </w:pPr>
  </w:style>
  <w:style w:type="paragraph" w:customStyle="1" w:styleId="11">
    <w:name w:val="列出段落"/>
    <w:basedOn w:val="1"/>
    <w:unhideWhenUsed/>
    <w:qFormat/>
    <w:uiPriority w:val="99"/>
    <w:pPr>
      <w:ind w:firstLine="420" w:firstLineChars="200"/>
    </w:pPr>
  </w:style>
  <w:style w:type="character" w:customStyle="1" w:styleId="12">
    <w:name w:val="页眉 字符"/>
    <w:basedOn w:val="7"/>
    <w:link w:val="4"/>
    <w:qFormat/>
    <w:uiPriority w:val="99"/>
    <w:rPr>
      <w:rFonts w:ascii="宋体" w:hAnsi="宋体" w:cs="宋体"/>
      <w:color w:val="000000"/>
      <w:sz w:val="18"/>
      <w:szCs w:val="18"/>
    </w:rPr>
  </w:style>
  <w:style w:type="character" w:customStyle="1" w:styleId="13">
    <w:name w:val="页脚 字符"/>
    <w:basedOn w:val="7"/>
    <w:link w:val="3"/>
    <w:qFormat/>
    <w:uiPriority w:val="99"/>
    <w:rPr>
      <w:rFonts w:ascii="宋体" w:hAnsi="宋体" w:cs="宋体"/>
      <w:color w:val="000000"/>
      <w:sz w:val="18"/>
      <w:szCs w:val="18"/>
    </w:rPr>
  </w:style>
  <w:style w:type="character" w:styleId="14">
    <w:name w:val="Placeholder Text"/>
    <w:basedOn w:val="7"/>
    <w:unhideWhenUsed/>
    <w:qFormat/>
    <w:uiPriority w:val="99"/>
    <w:rPr>
      <w:color w:val="66666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328</Words>
  <Characters>1876</Characters>
  <Lines>15</Lines>
  <Paragraphs>4</Paragraphs>
  <TotalTime>5</TotalTime>
  <ScaleCrop>false</ScaleCrop>
  <LinksUpToDate>false</LinksUpToDate>
  <CharactersWithSpaces>2200</CharactersWithSpaces>
  <Application>WPS Office_11.8.2.1111_F1E327BC-269C-435d-A152-05C5408002CA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2022-08-27T01:51:00Z</dcterms:created>
  <dc:creator>马春丽</dc:creator>
  <cp:lastModifiedBy>ysgz</cp:lastModifiedBy>
  <cp:lastPrinted>2024-04-04T10:41:00Z</cp:lastPrinted>
  <dcterms:modified xsi:type="dcterms:W3CDTF">2024-04-19T11:22:19Z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2052-11.8.2.1111</vt:lpwstr>
  </property>
  <property fmtid="{D5CDD505-2E9C-101B-9397-08002B2CF9AE}" pid="3" name="ICV">
    <vt:lpwstr>6AE244AAF9DB47F6BD48EBCAD0E96A68_13</vt:lpwstr>
  </property>
</Properties>
</file>